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65" w:val="left" w:leader="none"/>
        </w:tabs>
        <w:spacing w:befor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4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6521"/>
        <w:gridCol w:w="3288"/>
        <w:gridCol w:w="794"/>
        <w:gridCol w:w="796"/>
        <w:gridCol w:w="964"/>
        <w:gridCol w:w="962"/>
        <w:gridCol w:w="648"/>
      </w:tblGrid>
      <w:tr>
        <w:trPr>
          <w:trHeight w:val="551" w:hRule="atLeast"/>
        </w:trPr>
        <w:tc>
          <w:tcPr>
            <w:tcW w:w="14758" w:type="dxa"/>
            <w:gridSpan w:val="8"/>
          </w:tcPr>
          <w:p>
            <w:pPr>
              <w:pStyle w:val="TableParagraph"/>
              <w:tabs>
                <w:tab w:pos="2229" w:val="left" w:leader="none"/>
              </w:tabs>
              <w:spacing w:line="363" w:lineRule="exact"/>
              <w:ind w:left="669"/>
              <w:rPr>
                <w:b/>
                <w:sz w:val="32"/>
              </w:rPr>
            </w:pPr>
            <w:r>
              <w:rPr>
                <w:b/>
                <w:sz w:val="32"/>
              </w:rPr>
              <w:t>10.4.7</w:t>
              <w:tab/>
              <w:t>Liste de contrôle Installations techniques du</w:t>
            </w:r>
            <w:r>
              <w:rPr>
                <w:b/>
                <w:spacing w:val="2"/>
                <w:sz w:val="32"/>
              </w:rPr>
              <w:t> </w:t>
            </w:r>
            <w:r>
              <w:rPr>
                <w:b/>
                <w:sz w:val="32"/>
              </w:rPr>
              <w:t>bâtiment</w:t>
            </w:r>
          </w:p>
        </w:tc>
      </w:tr>
      <w:tr>
        <w:trPr>
          <w:trHeight w:val="275" w:hRule="atLeast"/>
        </w:trPr>
        <w:tc>
          <w:tcPr>
            <w:tcW w:w="7306" w:type="dxa"/>
            <w:gridSpan w:val="2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tabs>
                <w:tab w:pos="4870" w:val="left" w:leader="none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452" w:type="dxa"/>
            <w:gridSpan w:val="6"/>
            <w:tcBorders>
              <w:left w:val="single" w:sz="4" w:space="0" w:color="A6A6A6"/>
              <w:bottom w:val="nil"/>
            </w:tcBorders>
          </w:tcPr>
          <w:p>
            <w:pPr>
              <w:pStyle w:val="TableParagraph"/>
              <w:tabs>
                <w:tab w:pos="4878" w:val="left" w:leader="none"/>
                <w:tab w:pos="6890" w:val="left" w:leader="none"/>
              </w:tabs>
              <w:spacing w:line="256" w:lineRule="exact"/>
              <w:ind w:left="3355"/>
              <w:rPr>
                <w:sz w:val="24"/>
              </w:rPr>
            </w:pPr>
            <w:r>
              <w:rPr>
                <w:sz w:val="24"/>
              </w:rPr>
              <w:t>Date</w:t>
              <w:tab/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3" w:type="dxa"/>
            <w:gridSpan w:val="7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2" w:hRule="atLeast"/>
        </w:trPr>
        <w:tc>
          <w:tcPr>
            <w:tcW w:w="785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521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88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794" w:type="dxa"/>
          </w:tcPr>
          <w:p>
            <w:pPr>
              <w:pStyle w:val="TableParagraph"/>
              <w:ind w:left="172" w:right="147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796" w:type="dxa"/>
          </w:tcPr>
          <w:p>
            <w:pPr>
              <w:pStyle w:val="TableParagraph"/>
              <w:ind w:left="175" w:hanging="89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64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62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98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48" w:type="dxa"/>
          </w:tcPr>
          <w:p>
            <w:pPr>
              <w:pStyle w:val="TableParagraph"/>
              <w:ind w:left="191" w:right="133" w:hanging="29"/>
              <w:rPr>
                <w:sz w:val="20"/>
              </w:rPr>
            </w:pPr>
            <w:r>
              <w:rPr>
                <w:sz w:val="20"/>
              </w:rPr>
              <w:t>Ré-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glé</w:t>
            </w: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Appareils/outils conformes aux normes CE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(déclaration de conformité/mode d’emploi, formation, maintenance assurée)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Ascenseurs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(maintenance assurée, plan d'alerte/concept de sauvetage, utilisation)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Nettoyage des fenêtres / de la façade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(dispositifs antichute, instruction, outils télescopiques, sous-traitance)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Fraiser/scier/poncer</w:t>
            </w:r>
          </w:p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z w:val="16"/>
              </w:rPr>
              <w:t>(capuchons protecteurs, tringles de garde, instructions, EPI, électricité via disjoncteur FI)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521" w:type="dxa"/>
          </w:tcPr>
          <w:p>
            <w:pPr>
              <w:pStyle w:val="TableParagraph"/>
              <w:spacing w:line="274" w:lineRule="exact"/>
              <w:ind w:left="66"/>
              <w:rPr>
                <w:sz w:val="24"/>
              </w:rPr>
            </w:pPr>
            <w:r>
              <w:rPr>
                <w:sz w:val="24"/>
              </w:rPr>
              <w:t>Mobilier / étagères</w:t>
            </w:r>
          </w:p>
          <w:p>
            <w:pPr>
              <w:pStyle w:val="TableParagraph"/>
              <w:spacing w:line="166" w:lineRule="exact"/>
              <w:ind w:left="66"/>
              <w:rPr>
                <w:sz w:val="16"/>
              </w:rPr>
            </w:pPr>
            <w:r>
              <w:rPr>
                <w:sz w:val="16"/>
              </w:rPr>
              <w:t>(sécurisation contre le basculement, avec indication: poids max. + contenu)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Substances dangereuses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(entreposage, manipulation, mesures de protection, plan en cas d'urgence, élimination)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Postes de travail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(aération, éclairage, protection contre le bruit, EPI)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521" w:type="dxa"/>
          </w:tcPr>
          <w:p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Echelles / échelles doubles</w:t>
            </w:r>
          </w:p>
          <w:p>
            <w:pPr>
              <w:pStyle w:val="TableParagraph"/>
              <w:spacing w:line="168" w:lineRule="exact"/>
              <w:ind w:left="66"/>
              <w:rPr>
                <w:sz w:val="16"/>
              </w:rPr>
            </w:pPr>
            <w:r>
              <w:rPr>
                <w:sz w:val="16"/>
              </w:rPr>
              <w:t>(moyen de sécurisation, stabilité, entretien, aptitude à l'usage)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00" w:orient="landscape"/>
          <w:pgMar w:top="720" w:bottom="280" w:left="740" w:right="1020"/>
        </w:sectPr>
      </w:pPr>
    </w:p>
    <w:p>
      <w:pPr>
        <w:tabs>
          <w:tab w:pos="1556" w:val="left" w:leader="none"/>
          <w:tab w:pos="5346" w:val="left" w:leader="none"/>
        </w:tabs>
        <w:spacing w:before="93"/>
        <w:ind w:left="181" w:right="0" w:firstLine="0"/>
        <w:jc w:val="left"/>
        <w:rPr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sz w:val="20"/>
          <w:u w:val="single"/>
        </w:rPr>
        <w:t> </w:t>
        <w:tab/>
      </w:r>
    </w:p>
    <w:p>
      <w:pPr>
        <w:pStyle w:val="Heading1"/>
        <w:tabs>
          <w:tab w:pos="4095" w:val="left" w:leader="none"/>
        </w:tabs>
      </w:pPr>
      <w:r>
        <w:rPr/>
        <w:br w:type="column"/>
      </w:r>
      <w:r>
        <w:rPr/>
        <w:t>PERCO: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17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720" w:bottom="280" w:left="740" w:right="1020"/>
          <w:cols w:num="3" w:equalWidth="0">
            <w:col w:w="5347" w:space="61"/>
            <w:col w:w="4096" w:space="60"/>
            <w:col w:w="55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7393" w:val="left" w:leader="none"/>
          <w:tab w:pos="13434" w:val="left" w:leader="none"/>
        </w:tabs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191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2020-08-06T13:04:58Z</dcterms:created>
  <dcterms:modified xsi:type="dcterms:W3CDTF">2020-08-06T13:04:58Z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