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96"/>
        <w:gridCol w:w="5237"/>
        <w:gridCol w:w="3295"/>
        <w:gridCol w:w="583"/>
        <w:gridCol w:w="641"/>
        <w:gridCol w:w="975"/>
        <w:gridCol w:w="975"/>
        <w:gridCol w:w="689"/>
      </w:tblGrid>
      <w:tr>
        <w:trPr>
          <w:trHeight w:val="918" w:hRule="atLeast"/>
        </w:trPr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76"/>
              <w:rPr>
                <w:b/>
                <w:sz w:val="32"/>
              </w:rPr>
            </w:pPr>
            <w:r>
              <w:rPr>
                <w:b/>
                <w:sz w:val="32"/>
              </w:rPr>
              <w:t>10.4.8</w:t>
            </w:r>
          </w:p>
        </w:tc>
        <w:tc>
          <w:tcPr>
            <w:tcW w:w="853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2637" w:right="294" w:hanging="2297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Substances dangereuses/produits chimiques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0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95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14" w:val="left" w:leader="none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7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1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7" w:right="41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1" w:type="dxa"/>
          </w:tcPr>
          <w:p>
            <w:pPr>
              <w:pStyle w:val="TableParagraph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Observer les proportions de mélange / de dosage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(FDS, doser acide/base dans de l'eau, pas l’inverse)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Substances inflammables (p. ex. désinfectants)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(pas de surfaces chaudes ni de flammes nues, protection contre l’incendie)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Substances agressives, allergènes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(douche oculaire, équipement de protection individuelle, produits traitants pour la peau)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Entreposage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(accès, aération, entreposage commun de différentes substances)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Elimination des déchets clairement réglée</w:t>
            </w:r>
          </w:p>
          <w:p>
            <w:pPr>
              <w:pStyle w:val="TableParagraph"/>
              <w:spacing w:line="166" w:lineRule="exact"/>
              <w:ind w:left="67"/>
              <w:rPr>
                <w:sz w:val="16"/>
              </w:rPr>
            </w:pPr>
            <w:r>
              <w:rPr>
                <w:sz w:val="16"/>
              </w:rPr>
              <w:t>(reste de substances, récipients vides)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Mesures d'urgence organisées</w:t>
            </w:r>
          </w:p>
          <w:p>
            <w:pPr>
              <w:pStyle w:val="TableParagraph"/>
              <w:spacing w:line="167" w:lineRule="exact"/>
              <w:ind w:left="67"/>
              <w:rPr>
                <w:sz w:val="16"/>
              </w:rPr>
            </w:pPr>
            <w:r>
              <w:rPr>
                <w:sz w:val="16"/>
              </w:rPr>
              <w:t>(instruction, plan en cas d'urgence, instruments de travail)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Récipients</w:t>
            </w:r>
          </w:p>
          <w:p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(hermétiquement fermés, récipients appropriés, étiquetage sans ambiguïté)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Respecter l’interdiction de fumer</w:t>
            </w: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7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7393" w:val="left" w:leader="none"/>
          <w:tab w:pos="13434" w:val="left" w:leader="none"/>
        </w:tabs>
        <w:spacing w:before="95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192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2020-08-06T13:04:52Z</dcterms:created>
  <dcterms:modified xsi:type="dcterms:W3CDTF">2020-08-06T13:04:52Z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