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19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29249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49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spacing w:before="6"/>
        <w:ind w:left="0"/>
        <w:rPr>
          <w:rFonts w:ascii="Times New Roman"/>
          <w:sz w:val="15"/>
        </w:rPr>
      </w:pPr>
    </w:p>
    <w:p>
      <w:pPr>
        <w:spacing w:before="89"/>
        <w:ind w:left="920" w:right="0" w:firstLine="0"/>
        <w:jc w:val="left"/>
        <w:rPr>
          <w:b/>
          <w:sz w:val="32"/>
        </w:rPr>
      </w:pPr>
      <w:r>
        <w:rPr>
          <w:b/>
          <w:sz w:val="32"/>
        </w:rPr>
        <w:t>2.4.4 Descriptif de fonction du COSE (Cahier des charges)</w:t>
      </w:r>
    </w:p>
    <w:p>
      <w:pPr>
        <w:pStyle w:val="BodyText"/>
        <w:spacing w:before="1"/>
        <w:ind w:left="0"/>
        <w:rPr>
          <w:b/>
          <w:sz w:val="45"/>
        </w:rPr>
      </w:pPr>
    </w:p>
    <w:p>
      <w:pPr>
        <w:pStyle w:val="Heading1"/>
        <w:ind w:left="539"/>
      </w:pPr>
      <w:r>
        <w:rPr/>
        <w:t>Fonction :</w:t>
      </w:r>
    </w:p>
    <w:p>
      <w:pPr>
        <w:pStyle w:val="BodyText"/>
        <w:spacing w:before="139"/>
      </w:pPr>
      <w:r>
        <w:rPr/>
        <w:t>Le COSE est le Coordinateur de Sécurité dans l’établissement.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Heading1"/>
        <w:ind w:left="539"/>
      </w:pPr>
      <w:r>
        <w:rPr/>
        <w:t>Position hiérarchique :</w:t>
      </w:r>
    </w:p>
    <w:p>
      <w:pPr>
        <w:pStyle w:val="BodyText"/>
        <w:spacing w:before="139"/>
      </w:pPr>
      <w:r>
        <w:rPr/>
        <w:t>Il est habilité à avoir des contacts directs avec la Direction et toute la hiérarchie de l’entre- prise.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Heading1"/>
      </w:pPr>
      <w:r>
        <w:rPr/>
        <w:t>Bases juridiques :</w:t>
      </w:r>
    </w:p>
    <w:p>
      <w:pPr>
        <w:pStyle w:val="BodyText"/>
        <w:spacing w:before="140"/>
        <w:ind w:right="104"/>
        <w:jc w:val="both"/>
      </w:pPr>
      <w:r>
        <w:rPr/>
        <w:t>Le</w:t>
      </w:r>
      <w:r>
        <w:rPr>
          <w:spacing w:val="-3"/>
        </w:rPr>
        <w:t> </w:t>
      </w:r>
      <w:r>
        <w:rPr/>
        <w:t>COSE</w:t>
      </w:r>
      <w:r>
        <w:rPr>
          <w:spacing w:val="-5"/>
        </w:rPr>
        <w:t> </w:t>
      </w:r>
      <w:r>
        <w:rPr/>
        <w:t>est</w:t>
      </w:r>
      <w:r>
        <w:rPr>
          <w:spacing w:val="-2"/>
        </w:rPr>
        <w:t> </w:t>
      </w:r>
      <w:r>
        <w:rPr/>
        <w:t>soumis</w:t>
      </w:r>
      <w:r>
        <w:rPr>
          <w:spacing w:val="-8"/>
        </w:rPr>
        <w:t> </w:t>
      </w:r>
      <w:r>
        <w:rPr/>
        <w:t>à</w:t>
      </w:r>
      <w:r>
        <w:rPr>
          <w:spacing w:val="-6"/>
        </w:rPr>
        <w:t> </w:t>
      </w:r>
      <w:r>
        <w:rPr/>
        <w:t>l’Ordonnance</w:t>
      </w:r>
      <w:r>
        <w:rPr>
          <w:spacing w:val="-6"/>
        </w:rPr>
        <w:t> </w:t>
      </w:r>
      <w:r>
        <w:rPr/>
        <w:t>sur</w:t>
      </w:r>
      <w:r>
        <w:rPr>
          <w:spacing w:val="-5"/>
        </w:rPr>
        <w:t> </w:t>
      </w:r>
      <w:r>
        <w:rPr/>
        <w:t>la</w:t>
      </w:r>
      <w:r>
        <w:rPr>
          <w:spacing w:val="-10"/>
        </w:rPr>
        <w:t> </w:t>
      </w:r>
      <w:r>
        <w:rPr/>
        <w:t>Prévention</w:t>
      </w:r>
      <w:r>
        <w:rPr>
          <w:spacing w:val="-5"/>
        </w:rPr>
        <w:t> </w:t>
      </w:r>
      <w:r>
        <w:rPr/>
        <w:t>des</w:t>
      </w:r>
      <w:r>
        <w:rPr>
          <w:spacing w:val="-7"/>
        </w:rPr>
        <w:t> </w:t>
      </w:r>
      <w:r>
        <w:rPr/>
        <w:t>accidents</w:t>
      </w:r>
      <w:r>
        <w:rPr>
          <w:spacing w:val="-6"/>
        </w:rPr>
        <w:t> </w:t>
      </w:r>
      <w:r>
        <w:rPr/>
        <w:t>et</w:t>
      </w:r>
      <w:r>
        <w:rPr>
          <w:spacing w:val="-7"/>
        </w:rPr>
        <w:t> </w:t>
      </w:r>
      <w:r>
        <w:rPr/>
        <w:t>des</w:t>
      </w:r>
      <w:r>
        <w:rPr>
          <w:spacing w:val="-7"/>
        </w:rPr>
        <w:t> </w:t>
      </w:r>
      <w:r>
        <w:rPr/>
        <w:t>maladies</w:t>
      </w:r>
      <w:r>
        <w:rPr>
          <w:spacing w:val="-7"/>
        </w:rPr>
        <w:t> </w:t>
      </w:r>
      <w:r>
        <w:rPr/>
        <w:t>pro- fessionnels (OPA – 823.30), ainsi qu’à la Directive relative à l’appel à des Médecins du travail</w:t>
      </w:r>
      <w:r>
        <w:rPr>
          <w:spacing w:val="-13"/>
        </w:rPr>
        <w:t> </w:t>
      </w:r>
      <w:r>
        <w:rPr/>
        <w:t>et</w:t>
      </w:r>
      <w:r>
        <w:rPr>
          <w:spacing w:val="-8"/>
        </w:rPr>
        <w:t> </w:t>
      </w:r>
      <w:r>
        <w:rPr/>
        <w:t>autres</w:t>
      </w:r>
      <w:r>
        <w:rPr>
          <w:spacing w:val="-10"/>
        </w:rPr>
        <w:t> </w:t>
      </w:r>
      <w:r>
        <w:rPr/>
        <w:t>Spécialistes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Sécurité</w:t>
      </w:r>
      <w:r>
        <w:rPr>
          <w:spacing w:val="-11"/>
        </w:rPr>
        <w:t> </w:t>
      </w:r>
      <w:r>
        <w:rPr/>
        <w:t>au</w:t>
      </w:r>
      <w:r>
        <w:rPr>
          <w:spacing w:val="-11"/>
        </w:rPr>
        <w:t> </w:t>
      </w:r>
      <w:r>
        <w:rPr/>
        <w:t>Travail</w:t>
      </w:r>
      <w:r>
        <w:rPr>
          <w:spacing w:val="-12"/>
        </w:rPr>
        <w:t> </w:t>
      </w:r>
      <w:r>
        <w:rPr/>
        <w:t>(Directive</w:t>
      </w:r>
      <w:r>
        <w:rPr>
          <w:spacing w:val="-11"/>
        </w:rPr>
        <w:t> </w:t>
      </w:r>
      <w:r>
        <w:rPr/>
        <w:t>MSST</w:t>
      </w:r>
      <w:r>
        <w:rPr>
          <w:spacing w:val="-8"/>
        </w:rPr>
        <w:t> </w:t>
      </w:r>
      <w:r>
        <w:rPr/>
        <w:t>N°</w:t>
      </w:r>
      <w:r>
        <w:rPr>
          <w:spacing w:val="-10"/>
        </w:rPr>
        <w:t> </w:t>
      </w:r>
      <w:r>
        <w:rPr/>
        <w:t>6508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Com- mission Fédérale de Coordination pour la sécurité au</w:t>
      </w:r>
      <w:r>
        <w:rPr>
          <w:spacing w:val="-5"/>
        </w:rPr>
        <w:t> </w:t>
      </w:r>
      <w:r>
        <w:rPr/>
        <w:t>Travail).</w:t>
      </w:r>
    </w:p>
    <w:p>
      <w:pPr>
        <w:pStyle w:val="BodyText"/>
        <w:ind w:left="0"/>
        <w:rPr>
          <w:sz w:val="21"/>
        </w:rPr>
      </w:pPr>
    </w:p>
    <w:p>
      <w:pPr>
        <w:pStyle w:val="Heading1"/>
        <w:spacing w:before="1"/>
        <w:jc w:val="both"/>
      </w:pPr>
      <w:r>
        <w:rPr/>
        <w:t>Compétences et responsabilités :</w:t>
      </w:r>
    </w:p>
    <w:p>
      <w:pPr>
        <w:pStyle w:val="BodyText"/>
        <w:spacing w:before="139"/>
        <w:ind w:right="105"/>
        <w:jc w:val="both"/>
      </w:pPr>
      <w:r>
        <w:rPr/>
        <w:t>Conseille et aide la Direction, ainsi que les responsables dans la hiérarchie, pour tout ce qui concerne la sécurité et la santé au travail dans l’entreprise (SST), Il veille à ce que la politique fixée par la Direction en matière de sécurité et de santé au travail soit appliquée judicieusement dans le cadre de l’entreprise</w:t>
      </w:r>
    </w:p>
    <w:p>
      <w:pPr>
        <w:pStyle w:val="BodyText"/>
        <w:ind w:right="106"/>
        <w:jc w:val="both"/>
      </w:pPr>
      <w:r>
        <w:rPr/>
        <w:t>Le COSE s’engage à respecter une stricte confidentialité concernant les dossiers en rela- tion avec la gestion du personnel (salaires, dossiers médicaux, etc.)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Heading1"/>
        <w:jc w:val="both"/>
      </w:pPr>
      <w:r>
        <w:rPr/>
        <w:t>Cahier des charges :</w:t>
      </w:r>
    </w:p>
    <w:p>
      <w:pPr>
        <w:pStyle w:val="BodyText"/>
        <w:spacing w:before="139"/>
        <w:ind w:right="5229"/>
      </w:pPr>
      <w:r>
        <w:rPr/>
        <w:t>Participe à la formulation des objectifs Organise la sécurité (service de sécurité) Gère le classeur MSST</w:t>
      </w:r>
    </w:p>
    <w:p>
      <w:pPr>
        <w:pStyle w:val="BodyText"/>
      </w:pPr>
      <w:r>
        <w:rPr/>
        <w:t>Participe à la répartition des compétences et responsabilités à tous les niveaux de la hié- rarchie, ainsi que des cahiers des charges respectives</w:t>
      </w:r>
    </w:p>
    <w:p>
      <w:pPr>
        <w:pStyle w:val="BodyText"/>
      </w:pPr>
      <w:r>
        <w:rPr/>
        <w:t>Gère sa propre formation/information ainsi que celle des collaborateurs et autres interve- nants dans l’entreprise</w:t>
      </w:r>
    </w:p>
    <w:p>
      <w:pPr>
        <w:pStyle w:val="BodyText"/>
      </w:pPr>
      <w:r>
        <w:rPr/>
        <w:t>Elabore/participe à l’élaboration des prescriptions de sécurité</w:t>
      </w:r>
    </w:p>
    <w:p>
      <w:pPr>
        <w:pStyle w:val="BodyText"/>
      </w:pPr>
      <w:r>
        <w:rPr/>
        <w:t>Participe à la promotion du comportement conforme à la sécurité des collaborateurs S’assure de la conformité des achats des matières, des EPI, ainsi que des projets et mo- difications intervenant dans l’entreprise.</w:t>
      </w:r>
    </w:p>
    <w:p>
      <w:pPr>
        <w:pStyle w:val="BodyText"/>
      </w:pPr>
      <w:r>
        <w:rPr/>
        <w:t>S’assure de la bonne gestion de la maintenance des installations, appareils et équipe- ments de sécurité, y compris les EPI</w:t>
      </w:r>
    </w:p>
    <w:p>
      <w:pPr>
        <w:pStyle w:val="BodyText"/>
        <w:ind w:right="105"/>
        <w:jc w:val="both"/>
      </w:pPr>
      <w:r>
        <w:rPr/>
        <w:t>Participe au moyen des « Listes de contrôle » à la détermination des dangers et à l’éva- luation des risques des infrastructures, activités, des équipements et des substances que l’on trouve dans l’établissement, ainsi qu’à la planification des mesures de SST, si néces- saire en recourant à des spécialistes MSST.</w:t>
      </w:r>
    </w:p>
    <w:p>
      <w:pPr>
        <w:pStyle w:val="BodyText"/>
        <w:spacing w:before="1"/>
        <w:ind w:right="107"/>
        <w:jc w:val="both"/>
      </w:pPr>
      <w:r>
        <w:rPr/>
        <w:t>Gère les statistiques d’accidents, leurs causes, les mesures à mettre en place, leurs</w:t>
      </w:r>
      <w:r>
        <w:rPr>
          <w:spacing w:val="-40"/>
        </w:rPr>
        <w:t> </w:t>
      </w:r>
      <w:r>
        <w:rPr/>
        <w:t>réali- sations et remet annuellement une copie du registre consolidé des accidents au Secréta- riat de la</w:t>
      </w:r>
      <w:r>
        <w:rPr>
          <w:spacing w:val="-1"/>
        </w:rPr>
        <w:t> </w:t>
      </w:r>
      <w:r>
        <w:rPr/>
        <w:t>Branche</w:t>
      </w:r>
    </w:p>
    <w:p>
      <w:pPr>
        <w:pStyle w:val="BodyText"/>
        <w:jc w:val="both"/>
      </w:pPr>
      <w:r>
        <w:rPr/>
        <w:t>Elabore les consignes et veille à la mise à jour de l’organisation d’urgence</w:t>
      </w:r>
    </w:p>
    <w:p>
      <w:pPr>
        <w:pStyle w:val="BodyText"/>
        <w:ind w:right="108"/>
        <w:jc w:val="both"/>
      </w:pPr>
      <w:r>
        <w:rPr/>
        <w:t>Procède au contrôle de la réalisation des objectifs de sécurité (visites, audits), et remet annuellement une copie du rapport d’audit au Secrétariat de la Branche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9"/>
        </w:rPr>
      </w:pPr>
    </w:p>
    <w:p>
      <w:pPr>
        <w:tabs>
          <w:tab w:pos="4607" w:val="left" w:leader="none"/>
          <w:tab w:pos="8076" w:val="left" w:leader="none"/>
        </w:tabs>
        <w:spacing w:before="94"/>
        <w:ind w:left="11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2"/>
          <w:sz w:val="18"/>
        </w:rPr>
        <w:t> </w:t>
      </w:r>
      <w:r>
        <w:rPr>
          <w:sz w:val="18"/>
        </w:rPr>
        <w:t>32</w:t>
        <w:tab/>
        <w:t>version</w:t>
      </w:r>
      <w:r>
        <w:rPr>
          <w:spacing w:val="-1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26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539"/>
    </w:pPr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472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2020-08-06T12:28:25Z</dcterms:created>
  <dcterms:modified xsi:type="dcterms:W3CDTF">2020-08-06T12:28:25Z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