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319" w:val="left" w:leader="none"/>
        </w:tabs>
        <w:spacing w:line="240" w:lineRule="auto"/>
        <w:ind w:left="112" w:right="0" w:firstLine="0"/>
        <w:rPr>
          <w:rFonts w:ascii="Times New Roman"/>
          <w:sz w:val="20"/>
        </w:rPr>
      </w:pPr>
      <w:r>
        <w:rPr>
          <w:rFonts w:ascii="Times New Roman"/>
          <w:sz w:val="20"/>
        </w:rPr>
        <w:drawing>
          <wp:inline distT="0" distB="0" distL="0" distR="0">
            <wp:extent cx="1129249" cy="55006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29249" cy="550068"/>
                    </a:xfrm>
                    <a:prstGeom prst="rect">
                      <a:avLst/>
                    </a:prstGeom>
                  </pic:spPr>
                </pic:pic>
              </a:graphicData>
            </a:graphic>
          </wp:inline>
        </w:drawing>
      </w:r>
      <w:r>
        <w:rPr>
          <w:rFonts w:ascii="Times New Roman"/>
          <w:sz w:val="20"/>
        </w:rPr>
      </w:r>
      <w:r>
        <w:rPr>
          <w:rFonts w:ascii="Times New Roman"/>
          <w:sz w:val="20"/>
        </w:rPr>
        <w:tab/>
      </w:r>
      <w:r>
        <w:rPr>
          <w:rFonts w:ascii="Times New Roman"/>
          <w:position w:val="23"/>
          <w:sz w:val="20"/>
        </w:rPr>
        <w:drawing>
          <wp:inline distT="0" distB="0" distL="0" distR="0">
            <wp:extent cx="1536192" cy="292607"/>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536192" cy="292607"/>
                    </a:xfrm>
                    <a:prstGeom prst="rect">
                      <a:avLst/>
                    </a:prstGeom>
                  </pic:spPr>
                </pic:pic>
              </a:graphicData>
            </a:graphic>
          </wp:inline>
        </w:drawing>
      </w:r>
      <w:r>
        <w:rPr>
          <w:rFonts w:ascii="Times New Roman"/>
          <w:position w:val="23"/>
          <w:sz w:val="20"/>
        </w:rPr>
      </w:r>
    </w:p>
    <w:p>
      <w:pPr>
        <w:pStyle w:val="BodyText"/>
        <w:spacing w:before="6"/>
        <w:rPr>
          <w:rFonts w:ascii="Times New Roman"/>
          <w:sz w:val="15"/>
        </w:rPr>
      </w:pPr>
    </w:p>
    <w:p>
      <w:pPr>
        <w:spacing w:before="89"/>
        <w:ind w:left="2886" w:right="0" w:firstLine="0"/>
        <w:jc w:val="left"/>
        <w:rPr>
          <w:b/>
          <w:sz w:val="32"/>
        </w:rPr>
      </w:pPr>
      <w:r>
        <w:rPr>
          <w:b/>
          <w:sz w:val="32"/>
        </w:rPr>
        <w:t>3.4.2 Publications / liste de liens</w:t>
      </w:r>
    </w:p>
    <w:p>
      <w:pPr>
        <w:pStyle w:val="BodyText"/>
        <w:spacing w:before="5"/>
        <w:rPr>
          <w:b/>
          <w:sz w:val="34"/>
        </w:rPr>
      </w:pPr>
    </w:p>
    <w:p>
      <w:pPr>
        <w:pStyle w:val="BodyText"/>
        <w:ind w:left="111" w:right="110"/>
        <w:jc w:val="both"/>
      </w:pPr>
      <w:r>
        <w:rPr/>
        <w:t>De nouvelles publications paraissent quasiment tous les jours. Une telle liste n’est donc déjà plus actuelle le jour de son élaboration. Vous trouverez les informations les plus actuelles sur le site Internet de la Solution de branche.</w:t>
      </w:r>
    </w:p>
    <w:p>
      <w:pPr>
        <w:pStyle w:val="BodyText"/>
        <w:spacing w:before="120"/>
        <w:ind w:left="111"/>
        <w:jc w:val="both"/>
      </w:pPr>
      <w:r>
        <w:rPr/>
        <w:t>A suivre également :</w:t>
      </w:r>
    </w:p>
    <w:p>
      <w:pPr>
        <w:pStyle w:val="BodyText"/>
        <w:spacing w:before="120"/>
        <w:ind w:left="111"/>
      </w:pPr>
      <w:r>
        <w:rPr>
          <w:color w:val="0000FF"/>
          <w:spacing w:val="-174"/>
          <w:u w:val="single" w:color="0000FF"/>
        </w:rPr>
        <w:t>w</w:t>
      </w:r>
      <w:r>
        <w:rPr>
          <w:color w:val="0000FF"/>
          <w:spacing w:val="110"/>
        </w:rPr>
        <w:t> </w:t>
      </w:r>
      <w:r>
        <w:rPr>
          <w:color w:val="0000FF"/>
          <w:u w:val="single" w:color="0000FF"/>
        </w:rPr>
        <w:t>ww.ekas.ch</w:t>
      </w:r>
    </w:p>
    <w:p>
      <w:pPr>
        <w:pStyle w:val="BodyText"/>
        <w:tabs>
          <w:tab w:pos="2804" w:val="left" w:leader="none"/>
        </w:tabs>
        <w:spacing w:line="326" w:lineRule="auto" w:before="101"/>
        <w:ind w:left="111" w:right="4265"/>
      </w:pPr>
      <w:r>
        <w:rPr>
          <w:color w:val="0000FF"/>
          <w:spacing w:val="-174"/>
          <w:u w:val="single" w:color="0000FF"/>
        </w:rPr>
        <w:t>w</w:t>
      </w:r>
      <w:r>
        <w:rPr>
          <w:color w:val="0000FF"/>
          <w:spacing w:val="109"/>
        </w:rPr>
        <w:t> </w:t>
      </w:r>
      <w:r>
        <w:rPr>
          <w:color w:val="0000FF"/>
          <w:u w:val="single" w:color="0000FF"/>
        </w:rPr>
        <w:t>ww.ekas-box.ch</w:t>
      </w:r>
      <w:r>
        <w:rPr>
          <w:color w:val="0000FF"/>
        </w:rPr>
        <w:tab/>
      </w:r>
      <w:r>
        <w:rPr/>
        <w:t>(sécurité et santé au bureau) </w:t>
      </w:r>
      <w:r>
        <w:rPr>
          <w:color w:val="0000FF"/>
          <w:spacing w:val="-174"/>
          <w:u w:val="single" w:color="0000FF"/>
        </w:rPr>
        <w:t>w</w:t>
      </w:r>
      <w:r>
        <w:rPr>
          <w:color w:val="0000FF"/>
          <w:spacing w:val="109"/>
        </w:rPr>
        <w:t> </w:t>
      </w:r>
      <w:r>
        <w:rPr>
          <w:color w:val="0000FF"/>
          <w:u w:val="single" w:color="0000FF"/>
        </w:rPr>
        <w:t>ww.suva.ch</w:t>
      </w:r>
      <w:r>
        <w:rPr>
          <w:color w:val="0000FF"/>
        </w:rPr>
        <w:tab/>
      </w:r>
      <w:r>
        <w:rPr/>
        <w:t>(généralités)</w:t>
      </w:r>
    </w:p>
    <w:p>
      <w:pPr>
        <w:pStyle w:val="BodyText"/>
        <w:tabs>
          <w:tab w:pos="2804" w:val="left" w:leader="none"/>
        </w:tabs>
        <w:spacing w:line="328" w:lineRule="auto" w:before="1"/>
        <w:ind w:left="111" w:right="4121"/>
      </w:pPr>
      <w:r>
        <w:rPr>
          <w:color w:val="0000FF"/>
          <w:spacing w:val="-174"/>
          <w:u w:val="single" w:color="0000FF"/>
        </w:rPr>
        <w:t>w</w:t>
      </w:r>
      <w:r>
        <w:rPr>
          <w:color w:val="0000FF"/>
          <w:spacing w:val="107"/>
        </w:rPr>
        <w:t> </w:t>
      </w:r>
      <w:r>
        <w:rPr>
          <w:color w:val="0000FF"/>
          <w:u w:val="single" w:color="0000FF"/>
        </w:rPr>
        <w:t>ww.suva.ch/waswo</w:t>
      </w:r>
      <w:r>
        <w:rPr>
          <w:color w:val="0000FF"/>
        </w:rPr>
        <w:tab/>
      </w:r>
      <w:r>
        <w:rPr/>
        <w:t>(commander des publications) </w:t>
      </w:r>
      <w:r>
        <w:rPr>
          <w:color w:val="0000FF"/>
          <w:spacing w:val="-174"/>
          <w:u w:val="single" w:color="0000FF"/>
        </w:rPr>
        <w:t>w</w:t>
      </w:r>
      <w:r>
        <w:rPr>
          <w:color w:val="0000FF"/>
          <w:spacing w:val="110"/>
        </w:rPr>
        <w:t> </w:t>
      </w:r>
      <w:r>
        <w:rPr>
          <w:color w:val="0000FF"/>
          <w:u w:val="single" w:color="0000FF"/>
        </w:rPr>
        <w:t>ww.bfu.ch</w:t>
      </w:r>
    </w:p>
    <w:p>
      <w:pPr>
        <w:pStyle w:val="BodyText"/>
        <w:spacing w:line="271" w:lineRule="exact"/>
        <w:ind w:left="111"/>
      </w:pPr>
      <w:r>
        <w:rPr>
          <w:color w:val="0000FF"/>
          <w:spacing w:val="-174"/>
          <w:u w:val="single" w:color="0000FF"/>
        </w:rPr>
        <w:t>w</w:t>
      </w:r>
      <w:r>
        <w:rPr>
          <w:color w:val="0000FF"/>
          <w:spacing w:val="110"/>
        </w:rPr>
        <w:t> </w:t>
      </w:r>
      <w:r>
        <w:rPr>
          <w:color w:val="0000FF"/>
          <w:u w:val="single" w:color="0000FF"/>
        </w:rPr>
        <w:t>ww.stressnostress.ch</w:t>
      </w:r>
    </w:p>
    <w:p>
      <w:pPr>
        <w:pStyle w:val="BodyText"/>
        <w:tabs>
          <w:tab w:pos="2804" w:val="left" w:leader="none"/>
        </w:tabs>
        <w:spacing w:before="100"/>
        <w:ind w:left="111"/>
      </w:pPr>
      <w:r>
        <w:rPr>
          <w:color w:val="0000FF"/>
          <w:spacing w:val="-174"/>
          <w:u w:val="single" w:color="0000FF"/>
        </w:rPr>
        <w:t>w</w:t>
      </w:r>
      <w:r>
        <w:rPr>
          <w:color w:val="0000FF"/>
          <w:spacing w:val="110"/>
        </w:rPr>
        <w:t> </w:t>
      </w:r>
      <w:r>
        <w:rPr>
          <w:color w:val="0000FF"/>
          <w:u w:val="single" w:color="0000FF"/>
        </w:rPr>
        <w:t>ww.seco.admin.ch</w:t>
      </w:r>
      <w:r>
        <w:rPr>
          <w:color w:val="0000FF"/>
        </w:rPr>
        <w:tab/>
      </w:r>
      <w:r>
        <w:rPr/>
        <w:t>Secrétariat d’Etat à l’économie</w:t>
      </w:r>
      <w:r>
        <w:rPr>
          <w:spacing w:val="-2"/>
        </w:rPr>
        <w:t> </w:t>
      </w:r>
      <w:r>
        <w:rPr/>
        <w:t>SECO</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p>
      <w:pPr>
        <w:pStyle w:val="BodyText"/>
        <w:spacing w:before="92"/>
        <w:ind w:left="111"/>
      </w:pPr>
      <w:r>
        <w:rPr/>
        <w:t>Sécurité durant les loisirs :</w:t>
      </w:r>
    </w:p>
    <w:p>
      <w:pPr>
        <w:pStyle w:val="BodyText"/>
        <w:spacing w:before="99"/>
        <w:ind w:left="111"/>
      </w:pPr>
      <w:r>
        <w:rPr>
          <w:color w:val="0000FF"/>
          <w:spacing w:val="-134"/>
          <w:u w:val="single" w:color="0000FF"/>
        </w:rPr>
        <w:t>h</w:t>
      </w:r>
      <w:r>
        <w:rPr>
          <w:color w:val="0000FF"/>
          <w:spacing w:val="69"/>
        </w:rPr>
        <w:t> </w:t>
      </w:r>
      <w:r>
        <w:rPr>
          <w:color w:val="0000FF"/>
          <w:u w:val="single" w:color="0000FF"/>
        </w:rPr>
        <w:t>ttp://</w:t>
      </w:r>
      <w:hyperlink r:id="rId7">
        <w:r>
          <w:rPr>
            <w:color w:val="0000FF"/>
            <w:u w:val="single" w:color="0000FF"/>
          </w:rPr>
          <w:t>www.suva.ch/fr/startseite-suva/praevention-suva/sichere-freizeit-suva.htm</w:t>
        </w:r>
      </w:hyperlink>
    </w:p>
    <w:p>
      <w:pPr>
        <w:pStyle w:val="BodyText"/>
        <w:tabs>
          <w:tab w:pos="2804" w:val="left" w:leader="none"/>
        </w:tabs>
        <w:spacing w:before="101"/>
        <w:ind w:left="2946" w:right="362" w:hanging="2835"/>
      </w:pPr>
      <w:r>
        <w:rPr>
          <w:color w:val="0000FF"/>
          <w:spacing w:val="-174"/>
          <w:u w:val="single" w:color="0000FF"/>
        </w:rPr>
        <w:t>w</w:t>
      </w:r>
      <w:r>
        <w:rPr>
          <w:color w:val="0000FF"/>
          <w:spacing w:val="111"/>
        </w:rPr>
        <w:t> </w:t>
      </w:r>
      <w:r>
        <w:rPr>
          <w:color w:val="0000FF"/>
          <w:u w:val="single" w:color="0000FF"/>
        </w:rPr>
        <w:t>ww.bfu.ch</w:t>
      </w:r>
      <w:r>
        <w:rPr>
          <w:color w:val="0000FF"/>
        </w:rPr>
        <w:tab/>
      </w:r>
      <w:r>
        <w:rPr/>
        <w:t>(circulation routière, sport et mouvement, activités dans la maison et au</w:t>
      </w:r>
      <w:r>
        <w:rPr>
          <w:spacing w:val="1"/>
        </w:rPr>
        <w:t> </w:t>
      </w:r>
      <w:r>
        <w:rPr/>
        <w:t>jardin)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tabs>
          <w:tab w:pos="4607" w:val="left" w:leader="none"/>
          <w:tab w:pos="8076" w:val="left" w:leader="none"/>
        </w:tabs>
        <w:spacing w:before="94"/>
        <w:ind w:left="111" w:right="0" w:firstLine="0"/>
        <w:jc w:val="left"/>
        <w:rPr>
          <w:sz w:val="18"/>
        </w:rPr>
      </w:pPr>
      <w:r>
        <w:rPr>
          <w:sz w:val="18"/>
        </w:rPr>
        <w:t>Manuel de la solution de</w:t>
      </w:r>
      <w:r>
        <w:rPr>
          <w:spacing w:val="-4"/>
          <w:sz w:val="18"/>
        </w:rPr>
        <w:t> </w:t>
      </w:r>
      <w:r>
        <w:rPr>
          <w:sz w:val="18"/>
        </w:rPr>
        <w:t>branche ARODEMS</w:t>
        <w:tab/>
        <w:t>page</w:t>
      </w:r>
      <w:r>
        <w:rPr>
          <w:spacing w:val="-2"/>
          <w:sz w:val="18"/>
        </w:rPr>
        <w:t> </w:t>
      </w:r>
      <w:r>
        <w:rPr>
          <w:sz w:val="18"/>
        </w:rPr>
        <w:t>47</w:t>
        <w:tab/>
        <w:t>version</w:t>
      </w:r>
      <w:r>
        <w:rPr>
          <w:spacing w:val="-1"/>
          <w:sz w:val="18"/>
        </w:rPr>
        <w:t> </w:t>
      </w:r>
      <w:r>
        <w:rPr>
          <w:sz w:val="18"/>
        </w:rPr>
        <w:t>01.11.2019</w:t>
      </w:r>
    </w:p>
    <w:sectPr>
      <w:type w:val="continuous"/>
      <w:pgSz w:w="11910" w:h="16840"/>
      <w:pgMar w:top="260" w:bottom="280" w:left="7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suva.ch/fr/startseite-suva/praevention-suva/sichere-freizeit-suv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cpinget</dc:creator>
  <dc:title>Microsoft Word - 2019 MANUEL SolBra.docx</dc:title>
  <dcterms:created xsi:type="dcterms:W3CDTF">2020-08-06T12:36:00Z</dcterms:created>
  <dcterms:modified xsi:type="dcterms:W3CDTF">2020-08-06T12:36:00Z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2020-08-06T00:00:00Z</vt:filetime>
  </property>
</Properties>
</file>