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7319" w:val="left" w:leader="none"/>
        </w:tabs>
        <w:spacing w:line="240" w:lineRule="auto"/>
        <w:ind w:left="112" w:right="0" w:firstLine="0"/>
        <w:rPr>
          <w:rFonts w:ascii="Times New Roman"/>
          <w:sz w:val="20"/>
        </w:rPr>
      </w:pPr>
      <w:r>
        <w:rPr>
          <w:rFonts w:ascii="Times New Roman"/>
          <w:sz w:val="20"/>
        </w:rPr>
        <w:drawing>
          <wp:inline distT="0" distB="0" distL="0" distR="0">
            <wp:extent cx="1129249" cy="550068"/>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129249" cy="550068"/>
                    </a:xfrm>
                    <a:prstGeom prst="rect">
                      <a:avLst/>
                    </a:prstGeom>
                  </pic:spPr>
                </pic:pic>
              </a:graphicData>
            </a:graphic>
          </wp:inline>
        </w:drawing>
      </w:r>
      <w:r>
        <w:rPr>
          <w:rFonts w:ascii="Times New Roman"/>
          <w:sz w:val="20"/>
        </w:rPr>
      </w:r>
      <w:r>
        <w:rPr>
          <w:rFonts w:ascii="Times New Roman"/>
          <w:sz w:val="20"/>
        </w:rPr>
        <w:tab/>
      </w:r>
      <w:r>
        <w:rPr>
          <w:rFonts w:ascii="Times New Roman"/>
          <w:position w:val="23"/>
          <w:sz w:val="20"/>
        </w:rPr>
        <w:drawing>
          <wp:inline distT="0" distB="0" distL="0" distR="0">
            <wp:extent cx="1536192" cy="292607"/>
            <wp:effectExtent l="0" t="0" r="0" b="0"/>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1536192" cy="292607"/>
                    </a:xfrm>
                    <a:prstGeom prst="rect">
                      <a:avLst/>
                    </a:prstGeom>
                  </pic:spPr>
                </pic:pic>
              </a:graphicData>
            </a:graphic>
          </wp:inline>
        </w:drawing>
      </w:r>
      <w:r>
        <w:rPr>
          <w:rFonts w:ascii="Times New Roman"/>
          <w:position w:val="23"/>
          <w:sz w:val="20"/>
        </w:rPr>
      </w:r>
    </w:p>
    <w:p>
      <w:pPr>
        <w:pStyle w:val="BodyText"/>
        <w:spacing w:before="6"/>
        <w:ind w:left="0"/>
        <w:rPr>
          <w:rFonts w:ascii="Times New Roman"/>
          <w:sz w:val="15"/>
        </w:rPr>
      </w:pPr>
    </w:p>
    <w:p>
      <w:pPr>
        <w:spacing w:before="89"/>
        <w:ind w:left="2173" w:right="0" w:firstLine="0"/>
        <w:jc w:val="left"/>
        <w:rPr>
          <w:b/>
          <w:sz w:val="32"/>
        </w:rPr>
      </w:pPr>
      <w:r>
        <w:rPr>
          <w:b/>
          <w:sz w:val="32"/>
        </w:rPr>
        <w:t>4.4.2 Les équipements de protection / EPI</w:t>
      </w:r>
    </w:p>
    <w:p>
      <w:pPr>
        <w:spacing w:before="276"/>
        <w:ind w:left="111" w:right="0" w:firstLine="0"/>
        <w:jc w:val="both"/>
        <w:rPr>
          <w:b/>
          <w:sz w:val="24"/>
        </w:rPr>
      </w:pPr>
      <w:r>
        <w:rPr>
          <w:b/>
          <w:sz w:val="24"/>
        </w:rPr>
        <w:t>Dispositifs de sécurité et mesures de protection</w:t>
      </w:r>
    </w:p>
    <w:p>
      <w:pPr>
        <w:pStyle w:val="BodyText"/>
        <w:ind w:left="0"/>
        <w:rPr>
          <w:b/>
        </w:rPr>
      </w:pPr>
    </w:p>
    <w:p>
      <w:pPr>
        <w:pStyle w:val="BodyText"/>
        <w:ind w:right="109"/>
        <w:jc w:val="both"/>
      </w:pPr>
      <w:r>
        <w:rPr/>
        <w:t>Le</w:t>
      </w:r>
      <w:r>
        <w:rPr>
          <w:spacing w:val="-3"/>
        </w:rPr>
        <w:t> </w:t>
      </w:r>
      <w:r>
        <w:rPr/>
        <w:t>choix</w:t>
      </w:r>
      <w:r>
        <w:rPr>
          <w:spacing w:val="-8"/>
        </w:rPr>
        <w:t> </w:t>
      </w:r>
      <w:r>
        <w:rPr/>
        <w:t>des</w:t>
      </w:r>
      <w:r>
        <w:rPr>
          <w:spacing w:val="-3"/>
        </w:rPr>
        <w:t> </w:t>
      </w:r>
      <w:r>
        <w:rPr/>
        <w:t>dispositifs</w:t>
      </w:r>
      <w:r>
        <w:rPr>
          <w:spacing w:val="-7"/>
        </w:rPr>
        <w:t> </w:t>
      </w:r>
      <w:r>
        <w:rPr/>
        <w:t>de</w:t>
      </w:r>
      <w:r>
        <w:rPr>
          <w:spacing w:val="-2"/>
        </w:rPr>
        <w:t> </w:t>
      </w:r>
      <w:r>
        <w:rPr/>
        <w:t>sécurité</w:t>
      </w:r>
      <w:r>
        <w:rPr>
          <w:spacing w:val="-3"/>
        </w:rPr>
        <w:t> </w:t>
      </w:r>
      <w:r>
        <w:rPr/>
        <w:t>et</w:t>
      </w:r>
      <w:r>
        <w:rPr>
          <w:spacing w:val="-7"/>
        </w:rPr>
        <w:t> </w:t>
      </w:r>
      <w:r>
        <w:rPr/>
        <w:t>des</w:t>
      </w:r>
      <w:r>
        <w:rPr>
          <w:spacing w:val="-8"/>
        </w:rPr>
        <w:t> </w:t>
      </w:r>
      <w:r>
        <w:rPr/>
        <w:t>mesures</w:t>
      </w:r>
      <w:r>
        <w:rPr>
          <w:spacing w:val="-6"/>
        </w:rPr>
        <w:t> </w:t>
      </w:r>
      <w:r>
        <w:rPr/>
        <w:t>de</w:t>
      </w:r>
      <w:r>
        <w:rPr>
          <w:spacing w:val="-4"/>
        </w:rPr>
        <w:t> </w:t>
      </w:r>
      <w:r>
        <w:rPr/>
        <w:t>protection</w:t>
      </w:r>
      <w:r>
        <w:rPr>
          <w:spacing w:val="-6"/>
        </w:rPr>
        <w:t> </w:t>
      </w:r>
      <w:r>
        <w:rPr/>
        <w:t>suit</w:t>
      </w:r>
      <w:r>
        <w:rPr>
          <w:spacing w:val="-6"/>
        </w:rPr>
        <w:t> </w:t>
      </w:r>
      <w:r>
        <w:rPr/>
        <w:t>le</w:t>
      </w:r>
      <w:r>
        <w:rPr>
          <w:spacing w:val="-5"/>
        </w:rPr>
        <w:t> </w:t>
      </w:r>
      <w:r>
        <w:rPr/>
        <w:t>principe</w:t>
      </w:r>
      <w:r>
        <w:rPr>
          <w:spacing w:val="-6"/>
        </w:rPr>
        <w:t> </w:t>
      </w:r>
      <w:r>
        <w:rPr/>
        <w:t>du</w:t>
      </w:r>
      <w:r>
        <w:rPr>
          <w:spacing w:val="-6"/>
        </w:rPr>
        <w:t> </w:t>
      </w:r>
      <w:r>
        <w:rPr/>
        <w:t>modèle</w:t>
      </w:r>
      <w:r>
        <w:rPr>
          <w:spacing w:val="-6"/>
        </w:rPr>
        <w:t> </w:t>
      </w:r>
      <w:r>
        <w:rPr/>
        <w:t>en trois étapes :</w:t>
      </w:r>
    </w:p>
    <w:p>
      <w:pPr>
        <w:pStyle w:val="BodyText"/>
        <w:ind w:left="0"/>
      </w:pPr>
    </w:p>
    <w:p>
      <w:pPr>
        <w:pStyle w:val="ListParagraph"/>
        <w:numPr>
          <w:ilvl w:val="0"/>
          <w:numId w:val="1"/>
        </w:numPr>
        <w:tabs>
          <w:tab w:pos="1116" w:val="left" w:leader="none"/>
        </w:tabs>
        <w:spacing w:line="240" w:lineRule="auto" w:before="0" w:after="0"/>
        <w:ind w:left="1115" w:right="107" w:hanging="360"/>
        <w:jc w:val="left"/>
        <w:rPr>
          <w:sz w:val="24"/>
        </w:rPr>
      </w:pPr>
      <w:r>
        <w:rPr>
          <w:sz w:val="24"/>
        </w:rPr>
        <w:t>Elimination et réduction des dangers par remplacement ou par des mesures tech- niques (protecteurs, dispositifs de</w:t>
      </w:r>
      <w:r>
        <w:rPr>
          <w:spacing w:val="-3"/>
          <w:sz w:val="24"/>
        </w:rPr>
        <w:t> </w:t>
      </w:r>
      <w:r>
        <w:rPr>
          <w:sz w:val="24"/>
        </w:rPr>
        <w:t>protection)</w:t>
      </w:r>
    </w:p>
    <w:p>
      <w:pPr>
        <w:pStyle w:val="ListParagraph"/>
        <w:numPr>
          <w:ilvl w:val="0"/>
          <w:numId w:val="1"/>
        </w:numPr>
        <w:tabs>
          <w:tab w:pos="1116" w:val="left" w:leader="none"/>
        </w:tabs>
        <w:spacing w:line="240" w:lineRule="auto" w:before="0" w:after="0"/>
        <w:ind w:left="1115" w:right="0" w:hanging="361"/>
        <w:jc w:val="left"/>
        <w:rPr>
          <w:sz w:val="24"/>
        </w:rPr>
      </w:pPr>
      <w:r>
        <w:rPr>
          <w:sz w:val="24"/>
        </w:rPr>
        <w:t>Utilisation d’équipements de protection individuelle</w:t>
      </w:r>
      <w:r>
        <w:rPr>
          <w:spacing w:val="-3"/>
          <w:sz w:val="24"/>
        </w:rPr>
        <w:t> </w:t>
      </w:r>
      <w:r>
        <w:rPr>
          <w:sz w:val="24"/>
        </w:rPr>
        <w:t>(EPI)</w:t>
      </w:r>
    </w:p>
    <w:p>
      <w:pPr>
        <w:pStyle w:val="ListParagraph"/>
        <w:numPr>
          <w:ilvl w:val="0"/>
          <w:numId w:val="1"/>
        </w:numPr>
        <w:tabs>
          <w:tab w:pos="1116" w:val="left" w:leader="none"/>
        </w:tabs>
        <w:spacing w:line="480" w:lineRule="auto" w:before="0" w:after="0"/>
        <w:ind w:left="111" w:right="3141" w:firstLine="643"/>
        <w:jc w:val="left"/>
        <w:rPr>
          <w:b/>
          <w:sz w:val="24"/>
        </w:rPr>
      </w:pPr>
      <w:r>
        <w:rPr>
          <w:sz w:val="24"/>
        </w:rPr>
        <w:t>Information/sensibilisation au sujet des risques restants Les collaborateurs sont informés et instruits en conséquence. </w:t>
      </w:r>
      <w:r>
        <w:rPr>
          <w:b/>
          <w:sz w:val="24"/>
        </w:rPr>
        <w:t>Equipements de protection individuelle</w:t>
      </w:r>
      <w:r>
        <w:rPr>
          <w:b/>
          <w:spacing w:val="1"/>
          <w:sz w:val="24"/>
        </w:rPr>
        <w:t> </w:t>
      </w:r>
      <w:r>
        <w:rPr>
          <w:b/>
          <w:sz w:val="24"/>
        </w:rPr>
        <w:t>(EPI)</w:t>
      </w:r>
    </w:p>
    <w:p>
      <w:pPr>
        <w:pStyle w:val="BodyText"/>
        <w:ind w:right="108"/>
        <w:jc w:val="both"/>
      </w:pPr>
      <w:r>
        <w:rPr/>
        <w:t>Les postes de travail et les activités requérant l’utilisation d’EPI seront désignés sur base de la détermination des dangers/l’évaluation des risques. La sélection des EPI a lieu selon leur adéquation à l’usage prévu et leur confort d’utilisation. Pour ce faire, les collaborateurs con- cernés sont consultés.</w:t>
      </w:r>
    </w:p>
    <w:p>
      <w:pPr>
        <w:pStyle w:val="BodyText"/>
        <w:ind w:left="0"/>
      </w:pPr>
    </w:p>
    <w:p>
      <w:pPr>
        <w:pStyle w:val="BodyText"/>
        <w:spacing w:before="1"/>
        <w:ind w:right="108"/>
        <w:jc w:val="both"/>
      </w:pPr>
      <w:r>
        <w:rPr/>
        <w:t>Les collaborateurs sont responsables de la propreté et de l’état de bon fonctionnement des EPI. Ils sont régulièrement instruits et informés sur l’importance, le maniement et l’utilisation conforme des EPI ainsi que sur leur entretien.</w:t>
      </w:r>
    </w:p>
    <w:p>
      <w:pPr>
        <w:pStyle w:val="BodyText"/>
        <w:spacing w:before="11"/>
        <w:ind w:left="0"/>
        <w:rPr>
          <w:sz w:val="23"/>
        </w:rPr>
      </w:pPr>
    </w:p>
    <w:p>
      <w:pPr>
        <w:pStyle w:val="BodyText"/>
      </w:pPr>
      <w:r>
        <w:rPr/>
        <w:t>L</w:t>
      </w:r>
      <w:r>
        <w:rPr>
          <w:spacing w:val="-133"/>
          <w:u w:val="single"/>
        </w:rPr>
        <w:t>e</w:t>
      </w:r>
      <w:r>
        <w:rPr>
          <w:rFonts w:ascii="Times New Roman"/>
          <w:u w:val="single"/>
        </w:rPr>
        <w:t> </w:t>
      </w:r>
      <w:r>
        <w:rPr>
          <w:rFonts w:ascii="Times New Roman"/>
          <w:spacing w:val="17"/>
        </w:rPr>
        <w:t> </w:t>
      </w:r>
      <w:r>
        <w:rPr>
          <w:u w:val="single"/>
        </w:rPr>
        <w:t>s</w:t>
      </w:r>
      <w:r>
        <w:rPr>
          <w:spacing w:val="2"/>
          <w:u w:val="single"/>
        </w:rPr>
        <w:t> </w:t>
      </w:r>
      <w:r>
        <w:rPr>
          <w:spacing w:val="-2"/>
          <w:u w:val="single"/>
        </w:rPr>
        <w:t>E</w:t>
      </w:r>
      <w:r>
        <w:rPr>
          <w:u w:val="single"/>
        </w:rPr>
        <w:t>PI </w:t>
      </w:r>
      <w:r>
        <w:rPr>
          <w:spacing w:val="3"/>
          <w:u w:val="single"/>
        </w:rPr>
        <w:t>e</w:t>
      </w:r>
      <w:r>
        <w:rPr>
          <w:spacing w:val="-3"/>
          <w:u w:val="single"/>
        </w:rPr>
        <w:t>x</w:t>
      </w:r>
      <w:r>
        <w:rPr>
          <w:u w:val="single"/>
        </w:rPr>
        <w:t>i</w:t>
      </w:r>
      <w:r>
        <w:rPr>
          <w:spacing w:val="-3"/>
          <w:u w:val="single"/>
        </w:rPr>
        <w:t>s</w:t>
      </w:r>
      <w:r>
        <w:rPr>
          <w:u w:val="single"/>
        </w:rPr>
        <w:t>t</w:t>
      </w:r>
      <w:r>
        <w:rPr>
          <w:spacing w:val="3"/>
          <w:u w:val="single"/>
        </w:rPr>
        <w:t>e</w:t>
      </w:r>
      <w:r>
        <w:rPr>
          <w:u w:val="single"/>
        </w:rPr>
        <w:t>nt</w:t>
      </w:r>
      <w:r>
        <w:rPr>
          <w:spacing w:val="-2"/>
          <w:u w:val="single"/>
        </w:rPr>
        <w:t> </w:t>
      </w:r>
      <w:r>
        <w:rPr>
          <w:u w:val="single"/>
        </w:rPr>
        <w:t>entre</w:t>
      </w:r>
      <w:r>
        <w:rPr>
          <w:spacing w:val="-2"/>
          <w:u w:val="single"/>
        </w:rPr>
        <w:t> </w:t>
      </w:r>
      <w:r>
        <w:rPr>
          <w:u w:val="single"/>
        </w:rPr>
        <w:t>a</w:t>
      </w:r>
      <w:r>
        <w:rPr>
          <w:spacing w:val="3"/>
          <w:u w:val="single"/>
        </w:rPr>
        <w:t>u</w:t>
      </w:r>
      <w:r>
        <w:rPr>
          <w:u w:val="single"/>
        </w:rPr>
        <w:t>tres </w:t>
      </w:r>
      <w:r>
        <w:rPr>
          <w:spacing w:val="-3"/>
          <w:u w:val="single"/>
        </w:rPr>
        <w:t>s</w:t>
      </w:r>
      <w:r>
        <w:rPr>
          <w:u w:val="single"/>
        </w:rPr>
        <w:t>o</w:t>
      </w:r>
      <w:r>
        <w:rPr>
          <w:spacing w:val="3"/>
          <w:u w:val="single"/>
        </w:rPr>
        <w:t>u</w:t>
      </w:r>
      <w:r>
        <w:rPr>
          <w:u w:val="single"/>
        </w:rPr>
        <w:t>s</w:t>
      </w:r>
      <w:r>
        <w:rPr>
          <w:spacing w:val="-2"/>
          <w:u w:val="single"/>
        </w:rPr>
        <w:t> </w:t>
      </w:r>
      <w:r>
        <w:rPr>
          <w:u w:val="single"/>
        </w:rPr>
        <w:t>forme </w:t>
      </w:r>
      <w:r>
        <w:rPr>
          <w:spacing w:val="-2"/>
          <w:u w:val="single"/>
        </w:rPr>
        <w:t>d</w:t>
      </w:r>
      <w:r>
        <w:rPr>
          <w:spacing w:val="-1"/>
          <w:u w:val="single"/>
        </w:rPr>
        <w:t>e</w:t>
      </w:r>
    </w:p>
    <w:p>
      <w:pPr>
        <w:pStyle w:val="BodyText"/>
        <w:ind w:left="0"/>
        <w:rPr>
          <w:sz w:val="16"/>
        </w:rPr>
      </w:pPr>
    </w:p>
    <w:p>
      <w:pPr>
        <w:pStyle w:val="BodyText"/>
        <w:tabs>
          <w:tab w:pos="3657" w:val="left" w:leader="none"/>
        </w:tabs>
        <w:spacing w:before="92"/>
        <w:ind w:right="1911"/>
      </w:pPr>
      <w:r>
        <w:rPr/>
        <w:t>Protection de</w:t>
      </w:r>
      <w:r>
        <w:rPr>
          <w:spacing w:val="2"/>
        </w:rPr>
        <w:t> </w:t>
      </w:r>
      <w:r>
        <w:rPr/>
        <w:t>la</w:t>
      </w:r>
      <w:r>
        <w:rPr>
          <w:spacing w:val="-3"/>
        </w:rPr>
        <w:t> </w:t>
      </w:r>
      <w:r>
        <w:rPr/>
        <w:t>tête</w:t>
        <w:tab/>
        <w:t>casque de travail, bonnets, résilles Protection des yeux et du visage lunettes de protection, protection du</w:t>
      </w:r>
      <w:r>
        <w:rPr>
          <w:spacing w:val="-4"/>
        </w:rPr>
        <w:t> </w:t>
      </w:r>
      <w:r>
        <w:rPr/>
        <w:t>visage</w:t>
      </w:r>
    </w:p>
    <w:p>
      <w:pPr>
        <w:pStyle w:val="BodyText"/>
        <w:tabs>
          <w:tab w:pos="3657" w:val="left" w:leader="none"/>
        </w:tabs>
        <w:ind w:left="3656" w:right="110" w:hanging="3545"/>
      </w:pPr>
      <w:r>
        <w:rPr/>
        <w:t>Protection</w:t>
      </w:r>
      <w:r>
        <w:rPr>
          <w:spacing w:val="-1"/>
        </w:rPr>
        <w:t> </w:t>
      </w:r>
      <w:r>
        <w:rPr/>
        <w:t>de</w:t>
      </w:r>
      <w:r>
        <w:rPr>
          <w:spacing w:val="1"/>
        </w:rPr>
        <w:t> </w:t>
      </w:r>
      <w:r>
        <w:rPr/>
        <w:t>l’ouïe</w:t>
        <w:tab/>
        <w:tab/>
        <w:t>coquilles de protection, tampons auriculaires avec ou sans étriers, ouates de</w:t>
      </w:r>
      <w:r>
        <w:rPr>
          <w:spacing w:val="-5"/>
        </w:rPr>
        <w:t> </w:t>
      </w:r>
      <w:r>
        <w:rPr/>
        <w:t>protection</w:t>
      </w:r>
    </w:p>
    <w:p>
      <w:pPr>
        <w:pStyle w:val="BodyText"/>
      </w:pPr>
      <w:r>
        <w:rPr/>
        <w:t>Protection des voies</w:t>
      </w:r>
    </w:p>
    <w:p>
      <w:pPr>
        <w:pStyle w:val="BodyText"/>
        <w:tabs>
          <w:tab w:pos="3657" w:val="left" w:leader="none"/>
        </w:tabs>
        <w:ind w:left="3656" w:right="110" w:hanging="3545"/>
      </w:pPr>
      <w:r>
        <w:rPr/>
        <w:t>respiratoires</w:t>
        <w:tab/>
        <w:tab/>
        <w:t>masques filtrants, masque à insufflation d’air frais, casques de protection</w:t>
      </w:r>
      <w:r>
        <w:rPr>
          <w:spacing w:val="1"/>
        </w:rPr>
        <w:t> </w:t>
      </w:r>
      <w:r>
        <w:rPr/>
        <w:t>respiratoire</w:t>
      </w:r>
    </w:p>
    <w:p>
      <w:pPr>
        <w:pStyle w:val="BodyText"/>
        <w:tabs>
          <w:tab w:pos="3656" w:val="left" w:leader="none"/>
        </w:tabs>
        <w:ind w:right="2951"/>
      </w:pPr>
      <w:r>
        <w:rPr/>
        <w:t>Protection des mains</w:t>
        <w:tab/>
        <w:t>gants de protection, </w:t>
      </w:r>
      <w:r>
        <w:rPr>
          <w:spacing w:val="-3"/>
        </w:rPr>
        <w:t>protège-bras </w:t>
      </w:r>
      <w:r>
        <w:rPr/>
        <w:t>Protection des pieds et des</w:t>
      </w:r>
    </w:p>
    <w:p>
      <w:pPr>
        <w:pStyle w:val="BodyText"/>
        <w:tabs>
          <w:tab w:pos="3657" w:val="left" w:leader="none"/>
        </w:tabs>
        <w:ind w:left="3656" w:right="110" w:hanging="3545"/>
      </w:pPr>
      <w:r>
        <w:rPr/>
        <w:t>jambes</w:t>
        <w:tab/>
        <w:tab/>
        <w:t>chaussures de protection, guêtres de protection, protège-ti- bia, genouillères, pantalons</w:t>
      </w:r>
      <w:r>
        <w:rPr>
          <w:spacing w:val="1"/>
        </w:rPr>
        <w:t> </w:t>
      </w:r>
      <w:r>
        <w:rPr/>
        <w:t>anti-coupures</w:t>
      </w:r>
    </w:p>
    <w:p>
      <w:pPr>
        <w:pStyle w:val="BodyText"/>
        <w:tabs>
          <w:tab w:pos="3656" w:val="left" w:leader="none"/>
        </w:tabs>
      </w:pPr>
      <w:r>
        <w:rPr/>
        <w:t>Protection</w:t>
      </w:r>
      <w:r>
        <w:rPr>
          <w:spacing w:val="-1"/>
        </w:rPr>
        <w:t> </w:t>
      </w:r>
      <w:r>
        <w:rPr/>
        <w:t>de</w:t>
      </w:r>
      <w:r>
        <w:rPr>
          <w:spacing w:val="2"/>
        </w:rPr>
        <w:t> </w:t>
      </w:r>
      <w:r>
        <w:rPr/>
        <w:t>corps</w:t>
        <w:tab/>
        <w:t>vêtements de travail et de protection, vêtements de</w:t>
      </w:r>
      <w:r>
        <w:rPr>
          <w:spacing w:val="-47"/>
        </w:rPr>
        <w:t> </w:t>
      </w:r>
      <w:r>
        <w:rPr/>
        <w:t>couleurs</w:t>
      </w:r>
    </w:p>
    <w:p>
      <w:pPr>
        <w:pStyle w:val="BodyText"/>
        <w:ind w:left="3656"/>
      </w:pPr>
      <w:r>
        <w:rPr/>
        <w:t>voyantes)</w:t>
      </w:r>
    </w:p>
    <w:p>
      <w:pPr>
        <w:pStyle w:val="BodyText"/>
        <w:spacing w:before="1"/>
        <w:jc w:val="both"/>
      </w:pPr>
      <w:r>
        <w:rPr/>
        <w:t>Protection contre les chutes de</w:t>
      </w:r>
    </w:p>
    <w:p>
      <w:pPr>
        <w:pStyle w:val="BodyText"/>
        <w:tabs>
          <w:tab w:pos="3656" w:val="left" w:leader="none"/>
        </w:tabs>
        <w:ind w:left="3656" w:right="110" w:hanging="3545"/>
        <w:jc w:val="both"/>
      </w:pPr>
      <w:r>
        <w:rPr/>
        <w:t>hauteur</w:t>
        <w:tab/>
        <w:t>harnais antichute, ceintures de maintien au travail, longes, anti-chutes à rappel automatique, dispositifs d’ancrage, sys- tèmes de réglage de la</w:t>
      </w:r>
      <w:r>
        <w:rPr>
          <w:spacing w:val="3"/>
        </w:rPr>
        <w:t> </w:t>
      </w:r>
      <w:r>
        <w:rPr/>
        <w:t>hauteur</w:t>
      </w:r>
    </w:p>
    <w:p>
      <w:pPr>
        <w:pStyle w:val="BodyText"/>
        <w:jc w:val="both"/>
      </w:pPr>
      <w:r>
        <w:rPr/>
        <w:t>Protection contre la noyade gilets de sauvetage</w:t>
      </w:r>
    </w:p>
    <w:p>
      <w:pPr>
        <w:pStyle w:val="BodyText"/>
        <w:ind w:left="0"/>
        <w:rPr>
          <w:sz w:val="26"/>
        </w:rPr>
      </w:pPr>
    </w:p>
    <w:p>
      <w:pPr>
        <w:pStyle w:val="BodyText"/>
        <w:spacing w:before="11"/>
        <w:ind w:left="0"/>
        <w:rPr>
          <w:sz w:val="21"/>
        </w:rPr>
      </w:pPr>
    </w:p>
    <w:p>
      <w:pPr>
        <w:pStyle w:val="BodyText"/>
        <w:ind w:right="107"/>
        <w:jc w:val="both"/>
      </w:pPr>
      <w:r>
        <w:rPr/>
        <w:t>Lors du choix et de l’acquisition d’EPI, il faut veiller à ce que ceux-ci satisfassent également aux exigences selon l’art. 24 OPA (équipements de travail, marquage CE, éventuellement la déclaration de conformité). Les instructions du fabricant quant à l’utilisation, l’entretien et la maintenance des EPI doivent être observées.</w:t>
      </w:r>
    </w:p>
    <w:p>
      <w:pPr>
        <w:pStyle w:val="BodyText"/>
        <w:ind w:left="0"/>
        <w:rPr>
          <w:sz w:val="20"/>
        </w:rPr>
      </w:pPr>
    </w:p>
    <w:p>
      <w:pPr>
        <w:pStyle w:val="BodyText"/>
        <w:spacing w:before="10"/>
        <w:ind w:left="0"/>
        <w:rPr>
          <w:sz w:val="21"/>
        </w:rPr>
      </w:pPr>
    </w:p>
    <w:p>
      <w:pPr>
        <w:tabs>
          <w:tab w:pos="4931" w:val="left" w:leader="none"/>
          <w:tab w:pos="8501" w:val="left" w:leader="none"/>
        </w:tabs>
        <w:spacing w:before="0"/>
        <w:ind w:left="111" w:right="0" w:firstLine="0"/>
        <w:jc w:val="left"/>
        <w:rPr>
          <w:sz w:val="18"/>
        </w:rPr>
      </w:pPr>
      <w:r>
        <w:rPr>
          <w:sz w:val="18"/>
        </w:rPr>
        <w:t>Manuel de la solution de</w:t>
      </w:r>
      <w:r>
        <w:rPr>
          <w:spacing w:val="-4"/>
          <w:sz w:val="18"/>
        </w:rPr>
        <w:t> </w:t>
      </w:r>
      <w:r>
        <w:rPr>
          <w:sz w:val="18"/>
        </w:rPr>
        <w:t>branche ARODEMS</w:t>
        <w:tab/>
        <w:t>page</w:t>
      </w:r>
      <w:r>
        <w:rPr>
          <w:spacing w:val="-2"/>
          <w:sz w:val="18"/>
        </w:rPr>
        <w:t> </w:t>
      </w:r>
      <w:r>
        <w:rPr>
          <w:sz w:val="18"/>
        </w:rPr>
        <w:t>69</w:t>
        <w:tab/>
        <w:t>version</w:t>
      </w:r>
      <w:r>
        <w:rPr>
          <w:spacing w:val="-1"/>
          <w:sz w:val="18"/>
        </w:rPr>
        <w:t> </w:t>
      </w:r>
      <w:r>
        <w:rPr>
          <w:sz w:val="18"/>
        </w:rPr>
        <w:t>01.11.2019</w:t>
      </w:r>
    </w:p>
    <w:sectPr>
      <w:type w:val="continuous"/>
      <w:pgSz w:w="11910" w:h="16840"/>
      <w:pgMar w:top="260" w:bottom="280" w:left="7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Wingdings">
    <w:altName w:val="Wingdings"/>
    <w:charset w:val="2"/>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15" w:hanging="360"/>
      </w:pPr>
      <w:rPr>
        <w:rFonts w:hint="default" w:ascii="Wingdings" w:hAnsi="Wingdings" w:eastAsia="Wingdings" w:cs="Wingdings"/>
        <w:w w:val="100"/>
        <w:sz w:val="24"/>
        <w:szCs w:val="24"/>
      </w:rPr>
    </w:lvl>
    <w:lvl w:ilvl="1">
      <w:start w:val="0"/>
      <w:numFmt w:val="bullet"/>
      <w:lvlText w:val="•"/>
      <w:lvlJc w:val="left"/>
      <w:pPr>
        <w:ind w:left="2022" w:hanging="360"/>
      </w:pPr>
      <w:rPr>
        <w:rFonts w:hint="default"/>
      </w:rPr>
    </w:lvl>
    <w:lvl w:ilvl="2">
      <w:start w:val="0"/>
      <w:numFmt w:val="bullet"/>
      <w:lvlText w:val="•"/>
      <w:lvlJc w:val="left"/>
      <w:pPr>
        <w:ind w:left="2925" w:hanging="360"/>
      </w:pPr>
      <w:rPr>
        <w:rFonts w:hint="default"/>
      </w:rPr>
    </w:lvl>
    <w:lvl w:ilvl="3">
      <w:start w:val="0"/>
      <w:numFmt w:val="bullet"/>
      <w:lvlText w:val="•"/>
      <w:lvlJc w:val="left"/>
      <w:pPr>
        <w:ind w:left="3827" w:hanging="360"/>
      </w:pPr>
      <w:rPr>
        <w:rFonts w:hint="default"/>
      </w:rPr>
    </w:lvl>
    <w:lvl w:ilvl="4">
      <w:start w:val="0"/>
      <w:numFmt w:val="bullet"/>
      <w:lvlText w:val="•"/>
      <w:lvlJc w:val="left"/>
      <w:pPr>
        <w:ind w:left="4730" w:hanging="360"/>
      </w:pPr>
      <w:rPr>
        <w:rFonts w:hint="default"/>
      </w:rPr>
    </w:lvl>
    <w:lvl w:ilvl="5">
      <w:start w:val="0"/>
      <w:numFmt w:val="bullet"/>
      <w:lvlText w:val="•"/>
      <w:lvlJc w:val="left"/>
      <w:pPr>
        <w:ind w:left="5633" w:hanging="360"/>
      </w:pPr>
      <w:rPr>
        <w:rFonts w:hint="default"/>
      </w:rPr>
    </w:lvl>
    <w:lvl w:ilvl="6">
      <w:start w:val="0"/>
      <w:numFmt w:val="bullet"/>
      <w:lvlText w:val="•"/>
      <w:lvlJc w:val="left"/>
      <w:pPr>
        <w:ind w:left="6535" w:hanging="360"/>
      </w:pPr>
      <w:rPr>
        <w:rFonts w:hint="default"/>
      </w:rPr>
    </w:lvl>
    <w:lvl w:ilvl="7">
      <w:start w:val="0"/>
      <w:numFmt w:val="bullet"/>
      <w:lvlText w:val="•"/>
      <w:lvlJc w:val="left"/>
      <w:pPr>
        <w:ind w:left="7438" w:hanging="360"/>
      </w:pPr>
      <w:rPr>
        <w:rFonts w:hint="default"/>
      </w:rPr>
    </w:lvl>
    <w:lvl w:ilvl="8">
      <w:start w:val="0"/>
      <w:numFmt w:val="bullet"/>
      <w:lvlText w:val="•"/>
      <w:lvlJc w:val="left"/>
      <w:pPr>
        <w:ind w:left="8341"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ind w:left="111"/>
    </w:pPr>
    <w:rPr>
      <w:rFonts w:ascii="Arial" w:hAnsi="Arial" w:eastAsia="Arial" w:cs="Arial"/>
      <w:sz w:val="24"/>
      <w:szCs w:val="24"/>
    </w:rPr>
  </w:style>
  <w:style w:styleId="ListParagraph" w:type="paragraph">
    <w:name w:val="List Paragraph"/>
    <w:basedOn w:val="Normal"/>
    <w:uiPriority w:val="1"/>
    <w:qFormat/>
    <w:pPr>
      <w:ind w:left="1115" w:hanging="361"/>
    </w:pPr>
    <w:rPr>
      <w:rFonts w:ascii="Arial" w:hAnsi="Arial" w:eastAsia="Arial" w:cs="Arial"/>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cpinget</dc:creator>
  <dc:title>Microsoft Word - 2019 MANUEL SolBra.docx</dc:title>
  <dcterms:created xsi:type="dcterms:W3CDTF">2020-08-06T12:41:41Z</dcterms:created>
  <dcterms:modified xsi:type="dcterms:W3CDTF">2020-08-06T12:41:41Z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2020-04-14T00:00:00Z</vt:filetime>
  </property>
  <property fmtid="{D5CDD505-2E9C-101B-9397-08002B2CF9AE}" pid="3" name="LastSaved">
    <vt:filetime>2020-08-06T00:00:00Z</vt:filetime>
  </property>
</Properties>
</file>