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5"/>
        <w:rPr>
          <w:rFonts w:ascii="Times New Roman"/>
          <w:sz w:val="20"/>
        </w:rPr>
      </w:pPr>
    </w:p>
    <w:p>
      <w:pPr>
        <w:spacing w:before="89"/>
        <w:ind w:left="745" w:right="0" w:firstLine="0"/>
        <w:jc w:val="left"/>
        <w:rPr>
          <w:b/>
          <w:sz w:val="32"/>
        </w:rPr>
      </w:pPr>
      <w:r>
        <w:rPr>
          <w:b/>
          <w:sz w:val="32"/>
        </w:rPr>
        <w:t>4.4.3 FAQ concernant la modification des normes relatives aux échelles EN 131 parties 1 et</w:t>
      </w:r>
      <w:r>
        <w:rPr>
          <w:b/>
          <w:spacing w:val="-62"/>
          <w:sz w:val="32"/>
        </w:rPr>
        <w:t> </w:t>
      </w:r>
      <w:r>
        <w:rPr>
          <w:b/>
          <w:sz w:val="32"/>
        </w:rPr>
        <w:t>2</w:t>
      </w:r>
    </w:p>
    <w:p>
      <w:pPr>
        <w:pStyle w:val="BodyText"/>
        <w:rPr>
          <w:b/>
          <w:sz w:val="36"/>
        </w:rPr>
      </w:pPr>
    </w:p>
    <w:p>
      <w:pPr>
        <w:pStyle w:val="BodyText"/>
        <w:spacing w:before="231"/>
        <w:ind w:left="111"/>
      </w:pPr>
      <w:r>
        <w:rPr/>
        <w:t>Depuis le 1er Janvier 2018, la nouvelle Norme Européenne EN 131 1-2 est entrée en vigueur, et précise :</w:t>
      </w:r>
    </w:p>
    <w:p>
      <w:pPr>
        <w:pStyle w:val="BodyText"/>
      </w:pPr>
    </w:p>
    <w:p>
      <w:pPr>
        <w:pStyle w:val="Heading2"/>
        <w:spacing w:before="1"/>
      </w:pPr>
      <w:r>
        <w:rPr/>
        <w:t>Élargissement de la base des échelles d’appui</w:t>
      </w:r>
    </w:p>
    <w:p>
      <w:pPr>
        <w:pStyle w:val="BodyText"/>
        <w:spacing w:before="11"/>
        <w:rPr>
          <w:b/>
          <w:sz w:val="23"/>
        </w:rPr>
      </w:pPr>
    </w:p>
    <w:p>
      <w:pPr>
        <w:pStyle w:val="BodyText"/>
        <w:ind w:left="111" w:right="107"/>
      </w:pPr>
      <w:r>
        <w:rPr/>
        <w:t>Les échelles simples, transformables et coulissantes qui dépassent les 3 mètres de hauteur auront une base plus large. Ce qui entraîne que toutes ces échelles seront pourvues d’un stabilisateur ou d’une base évasée. Ainsi on est plus stable sur l’échelle et on travaille plus en sécurité.</w:t>
      </w:r>
    </w:p>
    <w:p>
      <w:pPr>
        <w:pStyle w:val="BodyText"/>
      </w:pPr>
    </w:p>
    <w:p>
      <w:pPr>
        <w:pStyle w:val="Heading2"/>
      </w:pPr>
      <w:r>
        <w:rPr/>
        <w:t>Impossibilité de séparer les éléments</w:t>
      </w:r>
    </w:p>
    <w:p>
      <w:pPr>
        <w:pStyle w:val="BodyText"/>
        <w:rPr>
          <w:b/>
        </w:rPr>
      </w:pPr>
    </w:p>
    <w:p>
      <w:pPr>
        <w:pStyle w:val="BodyText"/>
        <w:ind w:left="111" w:right="107"/>
      </w:pPr>
      <w:r>
        <w:rPr/>
        <w:t>Il n’est plus admis de pouvoir démonter l’échelle (plus haute que 3 mètres). Ce qui signifie qu’on ne sait plus démonter les échelles à 2 ou 3 plans comme des échelles coulissantes et les échelles transformables. De cette façon les parties de l’échelles restent ensemble et on tra- vaille toujours avec une échelle complète</w:t>
      </w:r>
      <w:r>
        <w:rPr>
          <w:color w:val="3B3834"/>
        </w:rPr>
        <w:t>.</w:t>
      </w:r>
    </w:p>
    <w:p>
      <w:pPr>
        <w:spacing w:after="0"/>
        <w:sectPr>
          <w:headerReference w:type="default" r:id="rId5"/>
          <w:footerReference w:type="default" r:id="rId6"/>
          <w:type w:val="continuous"/>
          <w:pgSz w:w="16840" w:h="11910" w:orient="landscape"/>
          <w:pgMar w:header="720" w:footer="490" w:top="1580" w:bottom="680" w:left="740" w:right="1040"/>
          <w:pgNumType w:start="70"/>
        </w:sectPr>
      </w:pPr>
    </w:p>
    <w:p>
      <w:pPr>
        <w:pStyle w:val="BodyText"/>
        <w:rPr>
          <w:sz w:val="20"/>
        </w:rPr>
      </w:pPr>
    </w:p>
    <w:p>
      <w:pPr>
        <w:pStyle w:val="BodyText"/>
        <w:spacing w:before="4"/>
      </w:pPr>
    </w:p>
    <w:p>
      <w:pPr>
        <w:pStyle w:val="Heading2"/>
        <w:spacing w:before="93"/>
      </w:pPr>
      <w:r>
        <w:rPr/>
        <w:t>Renvois et sources :</w:t>
      </w:r>
    </w:p>
    <w:p>
      <w:pPr>
        <w:pStyle w:val="ListParagraph"/>
        <w:numPr>
          <w:ilvl w:val="0"/>
          <w:numId w:val="1"/>
        </w:numPr>
        <w:tabs>
          <w:tab w:pos="539" w:val="left" w:leader="none"/>
          <w:tab w:pos="540" w:val="left" w:leader="none"/>
        </w:tabs>
        <w:spacing w:line="287" w:lineRule="exact" w:before="0" w:after="0"/>
        <w:ind w:left="539" w:right="0" w:hanging="361"/>
        <w:jc w:val="left"/>
        <w:rPr>
          <w:sz w:val="24"/>
        </w:rPr>
      </w:pPr>
      <w:r>
        <w:rPr>
          <w:sz w:val="24"/>
        </w:rPr>
        <w:t>Normes EN 131-1 et EN 131-2, en vigueur à partir du 1</w:t>
      </w:r>
      <w:r>
        <w:rPr>
          <w:position w:val="8"/>
          <w:sz w:val="16"/>
        </w:rPr>
        <w:t>er </w:t>
      </w:r>
      <w:r>
        <w:rPr>
          <w:sz w:val="24"/>
        </w:rPr>
        <w:t>janvier</w:t>
      </w:r>
      <w:r>
        <w:rPr>
          <w:spacing w:val="-28"/>
          <w:sz w:val="24"/>
        </w:rPr>
        <w:t> </w:t>
      </w:r>
      <w:r>
        <w:rPr>
          <w:sz w:val="24"/>
        </w:rPr>
        <w:t>2018</w:t>
      </w:r>
    </w:p>
    <w:p>
      <w:pPr>
        <w:pStyle w:val="ListParagraph"/>
        <w:numPr>
          <w:ilvl w:val="0"/>
          <w:numId w:val="1"/>
        </w:numPr>
        <w:tabs>
          <w:tab w:pos="539" w:val="left" w:leader="none"/>
          <w:tab w:pos="540" w:val="left" w:leader="none"/>
        </w:tabs>
        <w:spacing w:line="278" w:lineRule="exact" w:before="0" w:after="0"/>
        <w:ind w:left="539" w:right="0" w:hanging="361"/>
        <w:jc w:val="left"/>
        <w:rPr>
          <w:sz w:val="24"/>
        </w:rPr>
      </w:pPr>
      <w:r>
        <w:rPr>
          <w:sz w:val="24"/>
        </w:rPr>
        <w:t>Loi sur le travail et loi sur l’assurance-accidents en ce qui a trait aux obligations de l’employeur et du</w:t>
      </w:r>
      <w:r>
        <w:rPr>
          <w:spacing w:val="-2"/>
          <w:sz w:val="24"/>
        </w:rPr>
        <w:t> </w:t>
      </w:r>
      <w:r>
        <w:rPr>
          <w:sz w:val="24"/>
        </w:rPr>
        <w:t>travailleur</w:t>
      </w:r>
    </w:p>
    <w:p>
      <w:pPr>
        <w:pStyle w:val="ListParagraph"/>
        <w:numPr>
          <w:ilvl w:val="0"/>
          <w:numId w:val="1"/>
        </w:numPr>
        <w:tabs>
          <w:tab w:pos="539" w:val="left" w:leader="none"/>
          <w:tab w:pos="540" w:val="left" w:leader="none"/>
        </w:tabs>
        <w:spacing w:line="280" w:lineRule="exact" w:before="0" w:after="0"/>
        <w:ind w:left="539" w:right="0" w:hanging="361"/>
        <w:jc w:val="left"/>
        <w:rPr>
          <w:sz w:val="24"/>
        </w:rPr>
      </w:pPr>
      <w:r>
        <w:rPr>
          <w:sz w:val="24"/>
        </w:rPr>
        <w:t>Ordonnance sur la prévention des accidents (OPA) en rapport aux obligations de l’employeur et du travailleur et aux outils de</w:t>
      </w:r>
      <w:r>
        <w:rPr>
          <w:spacing w:val="-18"/>
          <w:sz w:val="24"/>
        </w:rPr>
        <w:t> </w:t>
      </w:r>
      <w:r>
        <w:rPr>
          <w:sz w:val="24"/>
        </w:rPr>
        <w:t>travail</w:t>
      </w:r>
    </w:p>
    <w:p>
      <w:pPr>
        <w:pStyle w:val="ListParagraph"/>
        <w:numPr>
          <w:ilvl w:val="0"/>
          <w:numId w:val="1"/>
        </w:numPr>
        <w:tabs>
          <w:tab w:pos="539" w:val="left" w:leader="none"/>
          <w:tab w:pos="540" w:val="left" w:leader="none"/>
        </w:tabs>
        <w:spacing w:line="280" w:lineRule="exact" w:before="0" w:after="0"/>
        <w:ind w:left="539" w:right="0" w:hanging="361"/>
        <w:jc w:val="left"/>
        <w:rPr>
          <w:sz w:val="24"/>
        </w:rPr>
      </w:pPr>
      <w:r>
        <w:rPr>
          <w:sz w:val="24"/>
        </w:rPr>
        <w:t>Ordonnance sur les travaux de construction (OTConst) art.</w:t>
      </w:r>
      <w:r>
        <w:rPr>
          <w:spacing w:val="-6"/>
          <w:sz w:val="24"/>
        </w:rPr>
        <w:t> </w:t>
      </w:r>
      <w:r>
        <w:rPr>
          <w:sz w:val="24"/>
        </w:rPr>
        <w:t>14</w:t>
      </w:r>
    </w:p>
    <w:p>
      <w:pPr>
        <w:pStyle w:val="ListParagraph"/>
        <w:numPr>
          <w:ilvl w:val="0"/>
          <w:numId w:val="1"/>
        </w:numPr>
        <w:tabs>
          <w:tab w:pos="539" w:val="left" w:leader="none"/>
          <w:tab w:pos="540" w:val="left" w:leader="none"/>
        </w:tabs>
        <w:spacing w:line="286" w:lineRule="exact" w:before="0" w:after="0"/>
        <w:ind w:left="539" w:right="0" w:hanging="361"/>
        <w:jc w:val="left"/>
        <w:rPr>
          <w:sz w:val="24"/>
        </w:rPr>
      </w:pPr>
      <w:r>
        <w:rPr>
          <w:sz w:val="24"/>
        </w:rPr>
        <w:t>Illustrations : div. fabricants d’échelles,</w:t>
      </w:r>
      <w:r>
        <w:rPr>
          <w:spacing w:val="-3"/>
          <w:sz w:val="24"/>
        </w:rPr>
        <w:t> </w:t>
      </w:r>
      <w:r>
        <w:rPr>
          <w:sz w:val="24"/>
        </w:rPr>
        <w:t>BfGA</w:t>
      </w:r>
    </w:p>
    <w:p>
      <w:pPr>
        <w:pStyle w:val="BodyText"/>
        <w:spacing w:before="2"/>
        <w:rPr>
          <w:sz w:val="23"/>
        </w:rPr>
      </w:pPr>
    </w:p>
    <w:tbl>
      <w:tblPr>
        <w:tblW w:w="0" w:type="auto"/>
        <w:jc w:val="left"/>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top w:w="0" w:type="dxa"/>
          <w:left w:w="0" w:type="dxa"/>
          <w:bottom w:w="0" w:type="dxa"/>
          <w:right w:w="0" w:type="dxa"/>
        </w:tblCellMar>
        <w:tblLook w:val="01E0"/>
      </w:tblPr>
      <w:tblGrid>
        <w:gridCol w:w="847"/>
        <w:gridCol w:w="4675"/>
        <w:gridCol w:w="4536"/>
        <w:gridCol w:w="4538"/>
      </w:tblGrid>
      <w:tr>
        <w:trPr>
          <w:trHeight w:val="322" w:hRule="atLeast"/>
        </w:trPr>
        <w:tc>
          <w:tcPr>
            <w:tcW w:w="847" w:type="dxa"/>
            <w:tcBorders>
              <w:left w:val="single" w:sz="4" w:space="0" w:color="000000"/>
              <w:bottom w:val="single" w:sz="4" w:space="0" w:color="000000"/>
              <w:right w:val="single" w:sz="4" w:space="0" w:color="000000"/>
            </w:tcBorders>
            <w:shd w:val="clear" w:color="auto" w:fill="BFBFBF"/>
          </w:tcPr>
          <w:p>
            <w:pPr>
              <w:pStyle w:val="TableParagraph"/>
              <w:spacing w:line="263" w:lineRule="exact"/>
              <w:ind w:left="0" w:right="510"/>
              <w:jc w:val="right"/>
              <w:rPr>
                <w:b/>
                <w:sz w:val="24"/>
              </w:rPr>
            </w:pPr>
            <w:r>
              <w:rPr>
                <w:b/>
                <w:sz w:val="24"/>
              </w:rPr>
              <w:t>N°</w:t>
            </w:r>
          </w:p>
        </w:tc>
        <w:tc>
          <w:tcPr>
            <w:tcW w:w="4675" w:type="dxa"/>
            <w:tcBorders>
              <w:left w:val="single" w:sz="4" w:space="0" w:color="000000"/>
              <w:bottom w:val="single" w:sz="4" w:space="0" w:color="000000"/>
              <w:right w:val="single" w:sz="4" w:space="0" w:color="000000"/>
            </w:tcBorders>
            <w:shd w:val="clear" w:color="auto" w:fill="BFBFBF"/>
          </w:tcPr>
          <w:p>
            <w:pPr>
              <w:pStyle w:val="TableParagraph"/>
              <w:spacing w:line="263" w:lineRule="exact"/>
              <w:ind w:left="55"/>
              <w:rPr>
                <w:b/>
                <w:sz w:val="24"/>
              </w:rPr>
            </w:pPr>
            <w:r>
              <w:rPr>
                <w:b/>
                <w:sz w:val="24"/>
              </w:rPr>
              <w:t>Question</w:t>
            </w:r>
          </w:p>
        </w:tc>
        <w:tc>
          <w:tcPr>
            <w:tcW w:w="4536" w:type="dxa"/>
            <w:tcBorders>
              <w:left w:val="single" w:sz="4" w:space="0" w:color="000000"/>
              <w:bottom w:val="single" w:sz="4" w:space="0" w:color="000000"/>
              <w:right w:val="single" w:sz="4" w:space="0" w:color="000000"/>
            </w:tcBorders>
            <w:shd w:val="clear" w:color="auto" w:fill="BFBFBF"/>
          </w:tcPr>
          <w:p>
            <w:pPr>
              <w:pStyle w:val="TableParagraph"/>
              <w:spacing w:line="263" w:lineRule="exact"/>
              <w:rPr>
                <w:b/>
                <w:sz w:val="24"/>
              </w:rPr>
            </w:pPr>
            <w:r>
              <w:rPr>
                <w:b/>
                <w:sz w:val="24"/>
              </w:rPr>
              <w:t>Réponse</w:t>
            </w:r>
          </w:p>
        </w:tc>
        <w:tc>
          <w:tcPr>
            <w:tcW w:w="4538" w:type="dxa"/>
            <w:tcBorders>
              <w:left w:val="single" w:sz="4" w:space="0" w:color="000000"/>
              <w:bottom w:val="single" w:sz="4" w:space="0" w:color="000000"/>
              <w:right w:val="single" w:sz="4" w:space="0" w:color="000000"/>
            </w:tcBorders>
            <w:shd w:val="clear" w:color="auto" w:fill="BFBFBF"/>
          </w:tcPr>
          <w:p>
            <w:pPr>
              <w:pStyle w:val="TableParagraph"/>
              <w:spacing w:line="263" w:lineRule="exact"/>
              <w:rPr>
                <w:b/>
                <w:sz w:val="24"/>
              </w:rPr>
            </w:pPr>
            <w:r>
              <w:rPr>
                <w:b/>
                <w:sz w:val="24"/>
              </w:rPr>
              <w:t>Observations/Source</w:t>
            </w:r>
          </w:p>
        </w:tc>
      </w:tr>
      <w:tr>
        <w:trPr>
          <w:trHeight w:val="4466"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53"/>
              <w:ind w:left="0" w:right="545"/>
              <w:jc w:val="right"/>
              <w:rPr>
                <w:sz w:val="24"/>
              </w:rPr>
            </w:pPr>
            <w:r>
              <w:rPr>
                <w:sz w:val="24"/>
              </w:rPr>
              <w:t>1</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spacing w:before="53"/>
              <w:ind w:left="55" w:right="389" w:hanging="1"/>
              <w:rPr>
                <w:sz w:val="24"/>
              </w:rPr>
            </w:pPr>
            <w:r>
              <w:rPr>
                <w:sz w:val="24"/>
              </w:rPr>
              <w:t>Comment la norme EN 131 (total 6 par- ties) a-t-elle été révisée ?</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53"/>
              <w:ind w:right="40"/>
              <w:jc w:val="both"/>
              <w:rPr>
                <w:sz w:val="24"/>
              </w:rPr>
            </w:pPr>
            <w:r>
              <w:rPr>
                <w:sz w:val="24"/>
              </w:rPr>
              <w:t>La norme a été révisée sur la base des statistiques d'accidents actualisée et de l’évaluation des causes.</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spacing w:before="53"/>
              <w:ind w:right="42"/>
              <w:jc w:val="both"/>
              <w:rPr>
                <w:sz w:val="24"/>
              </w:rPr>
            </w:pPr>
            <w:r>
              <w:rPr>
                <w:sz w:val="24"/>
              </w:rPr>
              <w:t>Il s’est avéré entre autres que le risque d'accident avec les échelles simples peut être considérablement réduit par une amélioration de la stabilité. C’est</w:t>
            </w:r>
            <w:r>
              <w:rPr>
                <w:spacing w:val="-41"/>
                <w:sz w:val="24"/>
              </w:rPr>
              <w:t> </w:t>
            </w:r>
            <w:r>
              <w:rPr>
                <w:sz w:val="24"/>
              </w:rPr>
              <w:t>pourquoi une</w:t>
            </w:r>
            <w:r>
              <w:rPr>
                <w:spacing w:val="-13"/>
                <w:sz w:val="24"/>
              </w:rPr>
              <w:t> </w:t>
            </w:r>
            <w:r>
              <w:rPr>
                <w:sz w:val="24"/>
              </w:rPr>
              <w:t>largeur</w:t>
            </w:r>
            <w:r>
              <w:rPr>
                <w:spacing w:val="-14"/>
                <w:sz w:val="24"/>
              </w:rPr>
              <w:t> </w:t>
            </w:r>
            <w:r>
              <w:rPr>
                <w:sz w:val="24"/>
              </w:rPr>
              <w:t>sur</w:t>
            </w:r>
            <w:r>
              <w:rPr>
                <w:spacing w:val="-14"/>
                <w:sz w:val="24"/>
              </w:rPr>
              <w:t> </w:t>
            </w:r>
            <w:r>
              <w:rPr>
                <w:sz w:val="24"/>
              </w:rPr>
              <w:t>pied</w:t>
            </w:r>
            <w:r>
              <w:rPr>
                <w:spacing w:val="-17"/>
                <w:sz w:val="24"/>
              </w:rPr>
              <w:t> </w:t>
            </w:r>
            <w:r>
              <w:rPr>
                <w:sz w:val="24"/>
              </w:rPr>
              <w:t>supérieure</w:t>
            </w:r>
            <w:r>
              <w:rPr>
                <w:spacing w:val="-19"/>
                <w:sz w:val="24"/>
              </w:rPr>
              <w:t> </w:t>
            </w:r>
            <w:r>
              <w:rPr>
                <w:sz w:val="24"/>
              </w:rPr>
              <w:t>est</w:t>
            </w:r>
            <w:r>
              <w:rPr>
                <w:spacing w:val="-15"/>
                <w:sz w:val="24"/>
              </w:rPr>
              <w:t> </w:t>
            </w:r>
            <w:r>
              <w:rPr>
                <w:sz w:val="24"/>
              </w:rPr>
              <w:t>obliga- toire</w:t>
            </w:r>
            <w:r>
              <w:rPr>
                <w:spacing w:val="-13"/>
                <w:sz w:val="24"/>
              </w:rPr>
              <w:t> </w:t>
            </w:r>
            <w:r>
              <w:rPr>
                <w:sz w:val="24"/>
              </w:rPr>
              <w:t>pour</w:t>
            </w:r>
            <w:r>
              <w:rPr>
                <w:spacing w:val="-12"/>
                <w:sz w:val="24"/>
              </w:rPr>
              <w:t> </w:t>
            </w:r>
            <w:r>
              <w:rPr>
                <w:sz w:val="24"/>
              </w:rPr>
              <w:t>les</w:t>
            </w:r>
            <w:r>
              <w:rPr>
                <w:spacing w:val="-14"/>
                <w:sz w:val="24"/>
              </w:rPr>
              <w:t> </w:t>
            </w:r>
            <w:r>
              <w:rPr>
                <w:sz w:val="24"/>
              </w:rPr>
              <w:t>nouvelles</w:t>
            </w:r>
            <w:r>
              <w:rPr>
                <w:spacing w:val="-14"/>
                <w:sz w:val="24"/>
              </w:rPr>
              <w:t> </w:t>
            </w:r>
            <w:r>
              <w:rPr>
                <w:sz w:val="24"/>
              </w:rPr>
              <w:t>échelles</w:t>
            </w:r>
            <w:r>
              <w:rPr>
                <w:spacing w:val="-14"/>
                <w:sz w:val="24"/>
              </w:rPr>
              <w:t> </w:t>
            </w:r>
            <w:r>
              <w:rPr>
                <w:sz w:val="24"/>
              </w:rPr>
              <w:t>simples</w:t>
            </w:r>
            <w:r>
              <w:rPr>
                <w:spacing w:val="-12"/>
                <w:sz w:val="24"/>
              </w:rPr>
              <w:t> </w:t>
            </w:r>
            <w:r>
              <w:rPr>
                <w:sz w:val="24"/>
              </w:rPr>
              <w:t>à partir</w:t>
            </w:r>
            <w:r>
              <w:rPr>
                <w:spacing w:val="-13"/>
                <w:sz w:val="24"/>
              </w:rPr>
              <w:t> </w:t>
            </w:r>
            <w:r>
              <w:rPr>
                <w:sz w:val="24"/>
              </w:rPr>
              <w:t>d’une</w:t>
            </w:r>
            <w:r>
              <w:rPr>
                <w:spacing w:val="-11"/>
                <w:sz w:val="24"/>
              </w:rPr>
              <w:t> </w:t>
            </w:r>
            <w:r>
              <w:rPr>
                <w:sz w:val="24"/>
              </w:rPr>
              <w:t>longueur</w:t>
            </w:r>
            <w:r>
              <w:rPr>
                <w:spacing w:val="-10"/>
                <w:sz w:val="24"/>
              </w:rPr>
              <w:t> </w:t>
            </w:r>
            <w:r>
              <w:rPr>
                <w:sz w:val="24"/>
              </w:rPr>
              <w:t>de</w:t>
            </w:r>
            <w:r>
              <w:rPr>
                <w:spacing w:val="-11"/>
                <w:sz w:val="24"/>
              </w:rPr>
              <w:t> </w:t>
            </w:r>
            <w:r>
              <w:rPr>
                <w:sz w:val="24"/>
              </w:rPr>
              <w:t>3,00</w:t>
            </w:r>
            <w:r>
              <w:rPr>
                <w:spacing w:val="-13"/>
                <w:sz w:val="24"/>
              </w:rPr>
              <w:t> </w:t>
            </w:r>
            <w:r>
              <w:rPr>
                <w:sz w:val="24"/>
              </w:rPr>
              <w:t>m.</w:t>
            </w:r>
            <w:r>
              <w:rPr>
                <w:spacing w:val="-10"/>
                <w:sz w:val="24"/>
              </w:rPr>
              <w:t> </w:t>
            </w:r>
            <w:r>
              <w:rPr>
                <w:sz w:val="24"/>
              </w:rPr>
              <w:t>Cela</w:t>
            </w:r>
            <w:r>
              <w:rPr>
                <w:spacing w:val="-12"/>
                <w:sz w:val="24"/>
              </w:rPr>
              <w:t> </w:t>
            </w:r>
            <w:r>
              <w:rPr>
                <w:sz w:val="24"/>
              </w:rPr>
              <w:t>peut être rendu possible par diverses ma- nières.</w:t>
            </w:r>
          </w:p>
          <w:p>
            <w:pPr>
              <w:pStyle w:val="TableParagraph"/>
              <w:spacing w:before="10" w:after="1"/>
              <w:ind w:left="0"/>
              <w:rPr>
                <w:sz w:val="16"/>
              </w:rPr>
            </w:pPr>
          </w:p>
          <w:p>
            <w:pPr>
              <w:pStyle w:val="TableParagraph"/>
              <w:rPr>
                <w:sz w:val="20"/>
              </w:rPr>
            </w:pPr>
            <w:r>
              <w:rPr>
                <w:sz w:val="20"/>
              </w:rPr>
              <w:drawing>
                <wp:inline distT="0" distB="0" distL="0" distR="0">
                  <wp:extent cx="2420200" cy="978884"/>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420200" cy="978884"/>
                          </a:xfrm>
                          <a:prstGeom prst="rect">
                            <a:avLst/>
                          </a:prstGeom>
                        </pic:spPr>
                      </pic:pic>
                    </a:graphicData>
                  </a:graphic>
                </wp:inline>
              </w:drawing>
            </w:r>
            <w:r>
              <w:rPr>
                <w:sz w:val="20"/>
              </w:rPr>
            </w:r>
          </w:p>
          <w:p>
            <w:pPr>
              <w:pStyle w:val="TableParagraph"/>
              <w:spacing w:before="8"/>
              <w:ind w:left="0"/>
              <w:rPr>
                <w:sz w:val="16"/>
              </w:rPr>
            </w:pPr>
          </w:p>
        </w:tc>
      </w:tr>
    </w:tbl>
    <w:p>
      <w:pPr>
        <w:spacing w:after="0"/>
        <w:rPr>
          <w:sz w:val="16"/>
        </w:rPr>
        <w:sectPr>
          <w:pgSz w:w="16840" w:h="11910" w:orient="landscape"/>
          <w:pgMar w:header="720" w:footer="490" w:top="1580" w:bottom="760" w:left="740" w:right="1040"/>
        </w:sectPr>
      </w:pPr>
    </w:p>
    <w:tbl>
      <w:tblPr>
        <w:tblW w:w="0" w:type="auto"/>
        <w:jc w:val="left"/>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top w:w="0" w:type="dxa"/>
          <w:left w:w="0" w:type="dxa"/>
          <w:bottom w:w="0" w:type="dxa"/>
          <w:right w:w="0" w:type="dxa"/>
        </w:tblCellMar>
        <w:tblLook w:val="01E0"/>
      </w:tblPr>
      <w:tblGrid>
        <w:gridCol w:w="847"/>
        <w:gridCol w:w="4675"/>
        <w:gridCol w:w="4536"/>
        <w:gridCol w:w="4538"/>
      </w:tblGrid>
      <w:tr>
        <w:trPr>
          <w:trHeight w:val="322" w:hRule="atLeast"/>
        </w:trPr>
        <w:tc>
          <w:tcPr>
            <w:tcW w:w="847"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0" w:right="510"/>
              <w:jc w:val="right"/>
              <w:rPr>
                <w:b/>
                <w:sz w:val="24"/>
              </w:rPr>
            </w:pPr>
            <w:r>
              <w:rPr>
                <w:b/>
                <w:sz w:val="24"/>
              </w:rPr>
              <w:t>N°</w:t>
            </w:r>
          </w:p>
        </w:tc>
        <w:tc>
          <w:tcPr>
            <w:tcW w:w="4675"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55"/>
              <w:rPr>
                <w:b/>
                <w:sz w:val="24"/>
              </w:rPr>
            </w:pPr>
            <w:r>
              <w:rPr>
                <w:b/>
                <w:sz w:val="24"/>
              </w:rPr>
              <w:t>Question</w:t>
            </w:r>
          </w:p>
        </w:tc>
        <w:tc>
          <w:tcPr>
            <w:tcW w:w="4536"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Réponse</w:t>
            </w:r>
          </w:p>
        </w:tc>
        <w:tc>
          <w:tcPr>
            <w:tcW w:w="4538"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Observations/Source</w:t>
            </w:r>
          </w:p>
        </w:tc>
      </w:tr>
      <w:tr>
        <w:trPr>
          <w:trHeight w:val="6186"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0" w:right="545"/>
              <w:jc w:val="right"/>
              <w:rPr>
                <w:sz w:val="24"/>
              </w:rPr>
            </w:pPr>
            <w:r>
              <w:rPr>
                <w:sz w:val="24"/>
              </w:rPr>
              <w:t>2</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spacing w:before="46"/>
              <w:ind w:left="55" w:hanging="1"/>
              <w:rPr>
                <w:sz w:val="24"/>
              </w:rPr>
            </w:pPr>
            <w:r>
              <w:rPr>
                <w:sz w:val="24"/>
              </w:rPr>
              <w:t>A quelles échelles s’applique le change- ment de norme ?</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46"/>
              <w:jc w:val="both"/>
              <w:rPr>
                <w:sz w:val="24"/>
              </w:rPr>
            </w:pPr>
            <w:r>
              <w:rPr>
                <w:sz w:val="24"/>
              </w:rPr>
              <w:t>Les échelles selon EN 131-1 et EN 131-2</w:t>
            </w:r>
          </w:p>
          <w:p>
            <w:pPr>
              <w:pStyle w:val="TableParagraph"/>
              <w:spacing w:before="11"/>
              <w:ind w:left="0"/>
              <w:rPr>
                <w:sz w:val="23"/>
              </w:rPr>
            </w:pPr>
          </w:p>
          <w:p>
            <w:pPr>
              <w:pStyle w:val="TableParagraph"/>
              <w:jc w:val="both"/>
              <w:rPr>
                <w:sz w:val="24"/>
              </w:rPr>
            </w:pPr>
            <w:r>
              <w:rPr>
                <w:sz w:val="24"/>
              </w:rPr>
              <w:t>Important :</w:t>
            </w:r>
          </w:p>
          <w:p>
            <w:pPr>
              <w:pStyle w:val="TableParagraph"/>
              <w:ind w:right="41"/>
              <w:jc w:val="both"/>
              <w:rPr>
                <w:sz w:val="24"/>
              </w:rPr>
            </w:pPr>
            <w:r>
              <w:rPr>
                <w:sz w:val="24"/>
              </w:rPr>
              <w:t>Si les échelles articulées simples ou mul- tiples selon EN 131-4 ou les échelles </w:t>
            </w:r>
            <w:r>
              <w:rPr>
                <w:spacing w:val="-4"/>
                <w:sz w:val="24"/>
              </w:rPr>
              <w:t>té-</w:t>
            </w:r>
            <w:r>
              <w:rPr>
                <w:spacing w:val="58"/>
                <w:sz w:val="24"/>
              </w:rPr>
              <w:t> </w:t>
            </w:r>
            <w:r>
              <w:rPr>
                <w:sz w:val="24"/>
              </w:rPr>
              <w:t>lescopiques selon EN 131-6 peuvent </w:t>
            </w:r>
            <w:r>
              <w:rPr>
                <w:spacing w:val="-4"/>
                <w:sz w:val="24"/>
              </w:rPr>
              <w:t>être </w:t>
            </w:r>
            <w:r>
              <w:rPr>
                <w:sz w:val="24"/>
              </w:rPr>
              <w:t>utilisées comme échelles simples, </w:t>
            </w:r>
            <w:r>
              <w:rPr>
                <w:spacing w:val="-4"/>
                <w:sz w:val="24"/>
              </w:rPr>
              <w:t>ces </w:t>
            </w:r>
            <w:r>
              <w:rPr>
                <w:sz w:val="24"/>
              </w:rPr>
              <w:t>échelles sont également soumises </w:t>
            </w:r>
            <w:r>
              <w:rPr>
                <w:spacing w:val="-4"/>
                <w:sz w:val="24"/>
              </w:rPr>
              <w:t>aux </w:t>
            </w:r>
            <w:r>
              <w:rPr>
                <w:sz w:val="24"/>
              </w:rPr>
              <w:t>nouvelles exigences relatives à la largeur sur pied selon EN 131-1.</w:t>
            </w:r>
          </w:p>
          <w:p>
            <w:pPr>
              <w:pStyle w:val="TableParagraph"/>
              <w:ind w:left="0"/>
              <w:rPr>
                <w:sz w:val="24"/>
              </w:rPr>
            </w:pPr>
          </w:p>
          <w:p>
            <w:pPr>
              <w:pStyle w:val="TableParagraph"/>
              <w:rPr>
                <w:b/>
                <w:sz w:val="24"/>
              </w:rPr>
            </w:pPr>
            <w:r>
              <w:rPr>
                <w:b/>
                <w:sz w:val="24"/>
              </w:rPr>
              <w:t>Ne sont pas affectés :</w:t>
            </w:r>
          </w:p>
          <w:p>
            <w:pPr>
              <w:pStyle w:val="TableParagraph"/>
              <w:numPr>
                <w:ilvl w:val="0"/>
                <w:numId w:val="2"/>
              </w:numPr>
              <w:tabs>
                <w:tab w:pos="205" w:val="left" w:leader="none"/>
              </w:tabs>
              <w:spacing w:line="240" w:lineRule="auto" w:before="0" w:after="0"/>
              <w:ind w:left="204" w:right="0" w:hanging="148"/>
              <w:jc w:val="left"/>
              <w:rPr>
                <w:sz w:val="24"/>
              </w:rPr>
            </w:pPr>
            <w:r>
              <w:rPr>
                <w:sz w:val="24"/>
              </w:rPr>
              <w:t>escabeaux selon EN 14183</w:t>
            </w:r>
            <w:r>
              <w:rPr>
                <w:spacing w:val="-3"/>
                <w:sz w:val="24"/>
              </w:rPr>
              <w:t> </w:t>
            </w:r>
            <w:r>
              <w:rPr>
                <w:sz w:val="24"/>
              </w:rPr>
              <w:t>;</w:t>
            </w:r>
          </w:p>
          <w:p>
            <w:pPr>
              <w:pStyle w:val="TableParagraph"/>
              <w:numPr>
                <w:ilvl w:val="0"/>
                <w:numId w:val="2"/>
              </w:numPr>
              <w:tabs>
                <w:tab w:pos="205" w:val="left" w:leader="none"/>
              </w:tabs>
              <w:spacing w:line="240" w:lineRule="auto" w:before="0" w:after="0"/>
              <w:ind w:left="204" w:right="0" w:hanging="148"/>
              <w:jc w:val="left"/>
              <w:rPr>
                <w:sz w:val="24"/>
              </w:rPr>
            </w:pPr>
            <w:r>
              <w:rPr>
                <w:sz w:val="24"/>
              </w:rPr>
              <w:t>marchepied mobile selon EN</w:t>
            </w:r>
            <w:r>
              <w:rPr>
                <w:spacing w:val="-6"/>
                <w:sz w:val="24"/>
              </w:rPr>
              <w:t> </w:t>
            </w:r>
            <w:r>
              <w:rPr>
                <w:sz w:val="24"/>
              </w:rPr>
              <w:t>131-7.</w:t>
            </w:r>
          </w:p>
          <w:p>
            <w:pPr>
              <w:pStyle w:val="TableParagraph"/>
              <w:ind w:left="0"/>
              <w:rPr>
                <w:sz w:val="24"/>
              </w:rPr>
            </w:pPr>
          </w:p>
          <w:p>
            <w:pPr>
              <w:pStyle w:val="TableParagraph"/>
              <w:ind w:right="40"/>
              <w:jc w:val="both"/>
              <w:rPr>
                <w:sz w:val="24"/>
              </w:rPr>
            </w:pPr>
            <w:r>
              <w:rPr>
                <w:sz w:val="24"/>
              </w:rPr>
              <w:t>Les échelles pour l’utilisation profession- nelle particulière telles qu’échelles de pompiers, échelles de couvreurs,</w:t>
            </w:r>
            <w:r>
              <w:rPr>
                <w:spacing w:val="-50"/>
                <w:sz w:val="24"/>
              </w:rPr>
              <w:t> </w:t>
            </w:r>
            <w:r>
              <w:rPr>
                <w:sz w:val="24"/>
              </w:rPr>
              <w:t>échelles mobiles</w:t>
            </w:r>
            <w:r>
              <w:rPr>
                <w:spacing w:val="-11"/>
                <w:sz w:val="24"/>
              </w:rPr>
              <w:t> </w:t>
            </w:r>
            <w:r>
              <w:rPr>
                <w:sz w:val="24"/>
              </w:rPr>
              <w:t>et</w:t>
            </w:r>
            <w:r>
              <w:rPr>
                <w:spacing w:val="-10"/>
                <w:sz w:val="24"/>
              </w:rPr>
              <w:t> </w:t>
            </w:r>
            <w:r>
              <w:rPr>
                <w:sz w:val="24"/>
              </w:rPr>
              <w:t>échelles</w:t>
            </w:r>
            <w:r>
              <w:rPr>
                <w:spacing w:val="-11"/>
                <w:sz w:val="24"/>
              </w:rPr>
              <w:t> </w:t>
            </w:r>
            <w:r>
              <w:rPr>
                <w:sz w:val="24"/>
              </w:rPr>
              <w:t>de</w:t>
            </w:r>
            <w:r>
              <w:rPr>
                <w:spacing w:val="-11"/>
                <w:sz w:val="24"/>
              </w:rPr>
              <w:t> </w:t>
            </w:r>
            <w:r>
              <w:rPr>
                <w:sz w:val="24"/>
              </w:rPr>
              <w:t>nettoyage</w:t>
            </w:r>
            <w:r>
              <w:rPr>
                <w:spacing w:val="-7"/>
                <w:sz w:val="24"/>
              </w:rPr>
              <w:t> </w:t>
            </w:r>
            <w:r>
              <w:rPr>
                <w:sz w:val="24"/>
              </w:rPr>
              <w:t>de</w:t>
            </w:r>
            <w:r>
              <w:rPr>
                <w:spacing w:val="-5"/>
                <w:sz w:val="24"/>
              </w:rPr>
              <w:t> </w:t>
            </w:r>
            <w:r>
              <w:rPr>
                <w:sz w:val="24"/>
              </w:rPr>
              <w:t>vitres sont exclues de la modification de la norme.</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spacing w:before="4"/>
              <w:ind w:left="0"/>
              <w:rPr>
                <w:sz w:val="4"/>
              </w:rPr>
            </w:pPr>
          </w:p>
          <w:p>
            <w:pPr>
              <w:pStyle w:val="TableParagraph"/>
              <w:tabs>
                <w:tab w:pos="2368" w:val="left" w:leader="none"/>
              </w:tabs>
              <w:rPr>
                <w:sz w:val="20"/>
              </w:rPr>
            </w:pPr>
            <w:r>
              <w:rPr>
                <w:sz w:val="20"/>
              </w:rPr>
              <w:drawing>
                <wp:inline distT="0" distB="0" distL="0" distR="0">
                  <wp:extent cx="971228" cy="1568672"/>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971228" cy="1568672"/>
                          </a:xfrm>
                          <a:prstGeom prst="rect">
                            <a:avLst/>
                          </a:prstGeom>
                        </pic:spPr>
                      </pic:pic>
                    </a:graphicData>
                  </a:graphic>
                </wp:inline>
              </w:drawing>
            </w:r>
            <w:r>
              <w:rPr>
                <w:sz w:val="20"/>
              </w:rPr>
            </w:r>
            <w:r>
              <w:rPr>
                <w:sz w:val="20"/>
              </w:rPr>
              <w:tab/>
            </w:r>
            <w:r>
              <w:rPr>
                <w:position w:val="3"/>
                <w:sz w:val="20"/>
              </w:rPr>
              <w:drawing>
                <wp:inline distT="0" distB="0" distL="0" distR="0">
                  <wp:extent cx="983757" cy="1408938"/>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983757" cy="1408938"/>
                          </a:xfrm>
                          <a:prstGeom prst="rect">
                            <a:avLst/>
                          </a:prstGeom>
                        </pic:spPr>
                      </pic:pic>
                    </a:graphicData>
                  </a:graphic>
                </wp:inline>
              </w:drawing>
            </w:r>
            <w:r>
              <w:rPr>
                <w:position w:val="3"/>
                <w:sz w:val="20"/>
              </w:rPr>
            </w:r>
          </w:p>
          <w:p>
            <w:pPr>
              <w:pStyle w:val="TableParagraph"/>
              <w:tabs>
                <w:tab w:pos="2699" w:val="left" w:leader="none"/>
              </w:tabs>
              <w:spacing w:after="61"/>
              <w:rPr>
                <w:sz w:val="16"/>
              </w:rPr>
            </w:pPr>
            <w:r>
              <w:rPr>
                <w:sz w:val="16"/>
              </w:rPr>
              <w:t>Echelle</w:t>
            </w:r>
            <w:r>
              <w:rPr>
                <w:spacing w:val="-3"/>
                <w:sz w:val="16"/>
              </w:rPr>
              <w:t> </w:t>
            </w:r>
            <w:r>
              <w:rPr>
                <w:sz w:val="16"/>
              </w:rPr>
              <w:t>articulée</w:t>
              <w:tab/>
              <w:t>Echelle</w:t>
            </w:r>
            <w:r>
              <w:rPr>
                <w:spacing w:val="-3"/>
                <w:sz w:val="16"/>
              </w:rPr>
              <w:t> </w:t>
            </w:r>
            <w:r>
              <w:rPr>
                <w:sz w:val="16"/>
              </w:rPr>
              <w:t>télescopique</w:t>
            </w:r>
          </w:p>
          <w:p>
            <w:pPr>
              <w:pStyle w:val="TableParagraph"/>
              <w:tabs>
                <w:tab w:pos="2148" w:val="left" w:leader="none"/>
              </w:tabs>
              <w:ind w:left="189"/>
              <w:rPr>
                <w:sz w:val="20"/>
              </w:rPr>
            </w:pPr>
            <w:r>
              <w:rPr>
                <w:position w:val="1"/>
                <w:sz w:val="20"/>
              </w:rPr>
              <w:drawing>
                <wp:inline distT="0" distB="0" distL="0" distR="0">
                  <wp:extent cx="1074126" cy="1822037"/>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1074126" cy="1822037"/>
                          </a:xfrm>
                          <a:prstGeom prst="rect">
                            <a:avLst/>
                          </a:prstGeom>
                        </pic:spPr>
                      </pic:pic>
                    </a:graphicData>
                  </a:graphic>
                </wp:inline>
              </w:drawing>
            </w:r>
            <w:r>
              <w:rPr>
                <w:position w:val="1"/>
                <w:sz w:val="20"/>
              </w:rPr>
            </w:r>
            <w:r>
              <w:rPr>
                <w:position w:val="1"/>
                <w:sz w:val="20"/>
              </w:rPr>
              <w:tab/>
            </w:r>
            <w:r>
              <w:rPr>
                <w:sz w:val="20"/>
              </w:rPr>
              <w:drawing>
                <wp:inline distT="0" distB="0" distL="0" distR="0">
                  <wp:extent cx="1430072" cy="1306544"/>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1430072" cy="1306544"/>
                          </a:xfrm>
                          <a:prstGeom prst="rect">
                            <a:avLst/>
                          </a:prstGeom>
                        </pic:spPr>
                      </pic:pic>
                    </a:graphicData>
                  </a:graphic>
                </wp:inline>
              </w:drawing>
            </w:r>
            <w:r>
              <w:rPr>
                <w:sz w:val="20"/>
              </w:rPr>
            </w:r>
          </w:p>
          <w:p>
            <w:pPr>
              <w:pStyle w:val="TableParagraph"/>
              <w:tabs>
                <w:tab w:pos="1997" w:val="left" w:leader="none"/>
              </w:tabs>
              <w:rPr>
                <w:sz w:val="16"/>
              </w:rPr>
            </w:pPr>
            <w:r>
              <w:rPr>
                <w:sz w:val="16"/>
              </w:rPr>
              <w:t>Escabeau</w:t>
            </w:r>
            <w:r>
              <w:rPr>
                <w:spacing w:val="-3"/>
                <w:sz w:val="16"/>
              </w:rPr>
              <w:t> </w:t>
            </w:r>
            <w:r>
              <w:rPr>
                <w:sz w:val="16"/>
              </w:rPr>
              <w:t>mobile</w:t>
              <w:tab/>
              <w:t>Escabeau selon EN</w:t>
            </w:r>
            <w:r>
              <w:rPr>
                <w:spacing w:val="-1"/>
                <w:sz w:val="16"/>
              </w:rPr>
              <w:t> </w:t>
            </w:r>
            <w:r>
              <w:rPr>
                <w:sz w:val="16"/>
              </w:rPr>
              <w:t>14183</w:t>
            </w:r>
          </w:p>
        </w:tc>
      </w:tr>
      <w:tr>
        <w:trPr>
          <w:trHeight w:val="1492"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0" w:right="545"/>
              <w:jc w:val="right"/>
              <w:rPr>
                <w:sz w:val="24"/>
              </w:rPr>
            </w:pPr>
            <w:r>
              <w:rPr>
                <w:sz w:val="24"/>
              </w:rPr>
              <w:t>3</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spacing w:before="46"/>
              <w:ind w:left="54"/>
              <w:rPr>
                <w:sz w:val="24"/>
              </w:rPr>
            </w:pPr>
            <w:r>
              <w:rPr>
                <w:sz w:val="24"/>
              </w:rPr>
              <w:t>A qui s’appliquent les normes ?</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46"/>
              <w:ind w:right="39" w:hanging="1"/>
              <w:jc w:val="both"/>
              <w:rPr>
                <w:sz w:val="24"/>
              </w:rPr>
            </w:pPr>
            <w:r>
              <w:rPr>
                <w:sz w:val="24"/>
              </w:rPr>
              <w:t>Aux fabricants et revendeurs qui alimen- tent le trafic européen des marchandises en échelles portables (« responsables de la mise en circulation »).</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2"/>
              </w:rPr>
            </w:pPr>
          </w:p>
        </w:tc>
      </w:tr>
    </w:tbl>
    <w:p>
      <w:pPr>
        <w:spacing w:after="0"/>
        <w:rPr>
          <w:rFonts w:ascii="Times New Roman"/>
          <w:sz w:val="22"/>
        </w:rPr>
        <w:sectPr>
          <w:pgSz w:w="16840" w:h="11910" w:orient="landscape"/>
          <w:pgMar w:header="720" w:footer="490" w:top="1580" w:bottom="680" w:left="740" w:right="1040"/>
        </w:sectPr>
      </w:pPr>
    </w:p>
    <w:tbl>
      <w:tblPr>
        <w:tblW w:w="0" w:type="auto"/>
        <w:jc w:val="left"/>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top w:w="0" w:type="dxa"/>
          <w:left w:w="0" w:type="dxa"/>
          <w:bottom w:w="0" w:type="dxa"/>
          <w:right w:w="0" w:type="dxa"/>
        </w:tblCellMar>
        <w:tblLook w:val="01E0"/>
      </w:tblPr>
      <w:tblGrid>
        <w:gridCol w:w="847"/>
        <w:gridCol w:w="4675"/>
        <w:gridCol w:w="4536"/>
        <w:gridCol w:w="4538"/>
      </w:tblGrid>
      <w:tr>
        <w:trPr>
          <w:trHeight w:val="322" w:hRule="atLeast"/>
        </w:trPr>
        <w:tc>
          <w:tcPr>
            <w:tcW w:w="847"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0" w:right="510"/>
              <w:jc w:val="right"/>
              <w:rPr>
                <w:b/>
                <w:sz w:val="24"/>
              </w:rPr>
            </w:pPr>
            <w:r>
              <w:rPr>
                <w:b/>
                <w:sz w:val="24"/>
              </w:rPr>
              <w:t>N°</w:t>
            </w:r>
          </w:p>
        </w:tc>
        <w:tc>
          <w:tcPr>
            <w:tcW w:w="4675"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55"/>
              <w:rPr>
                <w:b/>
                <w:sz w:val="24"/>
              </w:rPr>
            </w:pPr>
            <w:r>
              <w:rPr>
                <w:b/>
                <w:sz w:val="24"/>
              </w:rPr>
              <w:t>Question</w:t>
            </w:r>
          </w:p>
        </w:tc>
        <w:tc>
          <w:tcPr>
            <w:tcW w:w="4536"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Réponse</w:t>
            </w:r>
          </w:p>
        </w:tc>
        <w:tc>
          <w:tcPr>
            <w:tcW w:w="4538"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Observations/Source</w:t>
            </w:r>
          </w:p>
        </w:tc>
      </w:tr>
      <w:tr>
        <w:trPr>
          <w:trHeight w:val="2398" w:hRule="atLeast"/>
        </w:trPr>
        <w:tc>
          <w:tcPr>
            <w:tcW w:w="847" w:type="dxa"/>
            <w:tcBorders>
              <w:top w:val="single" w:sz="4" w:space="0" w:color="000000"/>
              <w:left w:val="single" w:sz="4" w:space="0" w:color="000000"/>
              <w:bottom w:val="nil"/>
              <w:right w:val="single" w:sz="4" w:space="0" w:color="000000"/>
            </w:tcBorders>
          </w:tcPr>
          <w:p>
            <w:pPr>
              <w:pStyle w:val="TableParagraph"/>
              <w:spacing w:before="46"/>
              <w:ind w:left="0" w:right="545"/>
              <w:jc w:val="right"/>
              <w:rPr>
                <w:sz w:val="24"/>
              </w:rPr>
            </w:pPr>
            <w:r>
              <w:rPr>
                <w:sz w:val="24"/>
              </w:rPr>
              <w:t>4</w:t>
            </w:r>
          </w:p>
        </w:tc>
        <w:tc>
          <w:tcPr>
            <w:tcW w:w="4675" w:type="dxa"/>
            <w:tcBorders>
              <w:top w:val="single" w:sz="4" w:space="0" w:color="000000"/>
              <w:left w:val="single" w:sz="4" w:space="0" w:color="000000"/>
              <w:bottom w:val="nil"/>
              <w:right w:val="single" w:sz="4" w:space="0" w:color="000000"/>
            </w:tcBorders>
          </w:tcPr>
          <w:p>
            <w:pPr>
              <w:pStyle w:val="TableParagraph"/>
              <w:spacing w:before="46"/>
              <w:ind w:left="55" w:right="-12" w:hanging="1"/>
              <w:rPr>
                <w:sz w:val="24"/>
              </w:rPr>
            </w:pPr>
            <w:r>
              <w:rPr>
                <w:sz w:val="24"/>
              </w:rPr>
              <w:t>Comment les échelles seront-elles rendues conformes ?</w:t>
            </w:r>
          </w:p>
        </w:tc>
        <w:tc>
          <w:tcPr>
            <w:tcW w:w="4536" w:type="dxa"/>
            <w:tcBorders>
              <w:top w:val="single" w:sz="4" w:space="0" w:color="000000"/>
              <w:left w:val="single" w:sz="4" w:space="0" w:color="000000"/>
              <w:bottom w:val="nil"/>
              <w:right w:val="single" w:sz="4" w:space="0" w:color="000000"/>
            </w:tcBorders>
          </w:tcPr>
          <w:p>
            <w:pPr>
              <w:pStyle w:val="TableParagraph"/>
              <w:spacing w:before="46"/>
              <w:ind w:right="39"/>
              <w:jc w:val="both"/>
              <w:rPr>
                <w:sz w:val="24"/>
              </w:rPr>
            </w:pPr>
            <w:r>
              <w:rPr>
                <w:sz w:val="24"/>
              </w:rPr>
              <w:t>Toutes les échelles mises en circulation qui sont (peuvent être) utilisées comme échelles simples et dépassant la</w:t>
            </w:r>
            <w:r>
              <w:rPr>
                <w:spacing w:val="-39"/>
                <w:sz w:val="24"/>
              </w:rPr>
              <w:t> </w:t>
            </w:r>
            <w:r>
              <w:rPr>
                <w:sz w:val="24"/>
              </w:rPr>
              <w:t>longueur de 3,00 m devront à partir du 1</w:t>
            </w:r>
            <w:r>
              <w:rPr>
                <w:position w:val="8"/>
                <w:sz w:val="16"/>
              </w:rPr>
              <w:t>er </w:t>
            </w:r>
            <w:r>
              <w:rPr>
                <w:sz w:val="24"/>
              </w:rPr>
              <w:t>janvier 2018 avoir une largeur sur pied supé- rieure</w:t>
            </w:r>
            <w:r>
              <w:rPr>
                <w:spacing w:val="-18"/>
                <w:sz w:val="24"/>
              </w:rPr>
              <w:t> </w:t>
            </w:r>
            <w:r>
              <w:rPr>
                <w:sz w:val="24"/>
              </w:rPr>
              <w:t>(voir</w:t>
            </w:r>
            <w:r>
              <w:rPr>
                <w:spacing w:val="-17"/>
                <w:sz w:val="24"/>
              </w:rPr>
              <w:t> </w:t>
            </w:r>
            <w:r>
              <w:rPr>
                <w:sz w:val="24"/>
              </w:rPr>
              <w:t>n°</w:t>
            </w:r>
            <w:r>
              <w:rPr>
                <w:spacing w:val="-17"/>
                <w:sz w:val="24"/>
              </w:rPr>
              <w:t> </w:t>
            </w:r>
            <w:r>
              <w:rPr>
                <w:sz w:val="24"/>
              </w:rPr>
              <w:t>10).</w:t>
            </w:r>
            <w:r>
              <w:rPr>
                <w:spacing w:val="-19"/>
                <w:sz w:val="24"/>
              </w:rPr>
              <w:t> </w:t>
            </w:r>
            <w:r>
              <w:rPr>
                <w:sz w:val="24"/>
              </w:rPr>
              <w:t>Cette</w:t>
            </w:r>
            <w:r>
              <w:rPr>
                <w:spacing w:val="-17"/>
                <w:sz w:val="24"/>
              </w:rPr>
              <w:t> </w:t>
            </w:r>
            <w:r>
              <w:rPr>
                <w:sz w:val="24"/>
              </w:rPr>
              <w:t>exigence</w:t>
            </w:r>
            <w:r>
              <w:rPr>
                <w:spacing w:val="-17"/>
                <w:sz w:val="24"/>
              </w:rPr>
              <w:t> </w:t>
            </w:r>
            <w:r>
              <w:rPr>
                <w:sz w:val="24"/>
              </w:rPr>
              <w:t>est</w:t>
            </w:r>
            <w:r>
              <w:rPr>
                <w:spacing w:val="-17"/>
                <w:sz w:val="24"/>
              </w:rPr>
              <w:t> </w:t>
            </w:r>
            <w:r>
              <w:rPr>
                <w:sz w:val="24"/>
              </w:rPr>
              <w:t>rem- plie par exemple au moyen d’une </w:t>
            </w:r>
            <w:r>
              <w:rPr>
                <w:spacing w:val="-3"/>
                <w:sz w:val="24"/>
              </w:rPr>
              <w:t>tra- </w:t>
            </w:r>
            <w:r>
              <w:rPr>
                <w:sz w:val="24"/>
              </w:rPr>
              <w:t>verse.</w:t>
            </w:r>
          </w:p>
        </w:tc>
        <w:tc>
          <w:tcPr>
            <w:tcW w:w="453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
              <w:ind w:left="0"/>
              <w:rPr>
                <w:sz w:val="4"/>
              </w:rPr>
            </w:pPr>
          </w:p>
          <w:p>
            <w:pPr>
              <w:pStyle w:val="TableParagraph"/>
              <w:rPr>
                <w:sz w:val="20"/>
              </w:rPr>
            </w:pPr>
            <w:r>
              <w:rPr>
                <w:sz w:val="20"/>
              </w:rPr>
              <w:drawing>
                <wp:inline distT="0" distB="0" distL="0" distR="0">
                  <wp:extent cx="1453701" cy="2253615"/>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1453701" cy="2253615"/>
                          </a:xfrm>
                          <a:prstGeom prst="rect">
                            <a:avLst/>
                          </a:prstGeom>
                        </pic:spPr>
                      </pic:pic>
                    </a:graphicData>
                  </a:graphic>
                </wp:inline>
              </w:drawing>
            </w:r>
            <w:r>
              <w:rPr>
                <w:sz w:val="20"/>
              </w:rPr>
            </w:r>
            <w:r>
              <w:rPr>
                <w:rFonts w:ascii="Times New Roman"/>
                <w:spacing w:val="48"/>
                <w:sz w:val="20"/>
              </w:rPr>
              <w:t> </w:t>
            </w:r>
            <w:r>
              <w:rPr>
                <w:spacing w:val="48"/>
                <w:sz w:val="20"/>
              </w:rPr>
              <w:drawing>
                <wp:inline distT="0" distB="0" distL="0" distR="0">
                  <wp:extent cx="1171284" cy="2264282"/>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1171284" cy="2264282"/>
                          </a:xfrm>
                          <a:prstGeom prst="rect">
                            <a:avLst/>
                          </a:prstGeom>
                        </pic:spPr>
                      </pic:pic>
                    </a:graphicData>
                  </a:graphic>
                </wp:inline>
              </w:drawing>
            </w:r>
            <w:r>
              <w:rPr>
                <w:spacing w:val="48"/>
                <w:sz w:val="20"/>
              </w:rPr>
            </w:r>
          </w:p>
        </w:tc>
      </w:tr>
      <w:tr>
        <w:trPr>
          <w:trHeight w:val="1323" w:hRule="atLeast"/>
        </w:trPr>
        <w:tc>
          <w:tcPr>
            <w:tcW w:w="847" w:type="dxa"/>
            <w:tcBorders>
              <w:top w:val="nil"/>
              <w:left w:val="single" w:sz="4" w:space="0" w:color="000000"/>
              <w:bottom w:val="single" w:sz="4" w:space="0" w:color="000000"/>
              <w:right w:val="single" w:sz="4" w:space="0" w:color="000000"/>
            </w:tcBorders>
          </w:tcPr>
          <w:p>
            <w:pPr>
              <w:pStyle w:val="TableParagraph"/>
              <w:ind w:left="0"/>
              <w:rPr>
                <w:rFonts w:ascii="Times New Roman"/>
                <w:sz w:val="22"/>
              </w:rPr>
            </w:pPr>
          </w:p>
        </w:tc>
        <w:tc>
          <w:tcPr>
            <w:tcW w:w="4675" w:type="dxa"/>
            <w:tcBorders>
              <w:top w:val="nil"/>
              <w:left w:val="single" w:sz="4" w:space="0" w:color="000000"/>
              <w:bottom w:val="single" w:sz="4" w:space="0" w:color="000000"/>
              <w:right w:val="single" w:sz="4" w:space="0" w:color="000000"/>
            </w:tcBorders>
          </w:tcPr>
          <w:p>
            <w:pPr>
              <w:pStyle w:val="TableParagraph"/>
              <w:ind w:left="0"/>
              <w:rPr>
                <w:rFonts w:ascii="Times New Roman"/>
                <w:sz w:val="22"/>
              </w:rPr>
            </w:pPr>
          </w:p>
        </w:tc>
        <w:tc>
          <w:tcPr>
            <w:tcW w:w="4536" w:type="dxa"/>
            <w:tcBorders>
              <w:top w:val="nil"/>
              <w:left w:val="single" w:sz="4" w:space="0" w:color="000000"/>
              <w:bottom w:val="single" w:sz="4" w:space="0" w:color="000000"/>
              <w:right w:val="single" w:sz="4" w:space="0" w:color="000000"/>
            </w:tcBorders>
          </w:tcPr>
          <w:p>
            <w:pPr>
              <w:pStyle w:val="TableParagraph"/>
              <w:spacing w:before="122"/>
              <w:rPr>
                <w:sz w:val="24"/>
              </w:rPr>
            </w:pPr>
            <w:r>
              <w:rPr>
                <w:sz w:val="24"/>
              </w:rPr>
              <w:t>Il existe en outre certaines limitations d’application</w:t>
            </w:r>
          </w:p>
          <w:p>
            <w:pPr>
              <w:pStyle w:val="TableParagraph"/>
              <w:rPr>
                <w:sz w:val="24"/>
              </w:rPr>
            </w:pPr>
            <w:r>
              <w:rPr>
                <w:sz w:val="24"/>
              </w:rPr>
              <w:t>-&gt; voir n° 6</w:t>
            </w:r>
          </w:p>
        </w:tc>
        <w:tc>
          <w:tcPr>
            <w:tcW w:w="4538" w:type="dxa"/>
            <w:vMerge/>
            <w:tcBorders>
              <w:top w:val="nil"/>
              <w:left w:val="single" w:sz="4" w:space="0" w:color="000000"/>
              <w:bottom w:val="single" w:sz="4" w:space="0" w:color="000000"/>
              <w:right w:val="single" w:sz="4" w:space="0" w:color="000000"/>
            </w:tcBorders>
          </w:tcPr>
          <w:p>
            <w:pPr>
              <w:rPr>
                <w:sz w:val="2"/>
                <w:szCs w:val="2"/>
              </w:rPr>
            </w:pPr>
          </w:p>
        </w:tc>
      </w:tr>
      <w:tr>
        <w:trPr>
          <w:trHeight w:val="2879"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0" w:right="545"/>
              <w:jc w:val="right"/>
              <w:rPr>
                <w:sz w:val="24"/>
              </w:rPr>
            </w:pPr>
            <w:r>
              <w:rPr>
                <w:sz w:val="24"/>
              </w:rPr>
              <w:t>5</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spacing w:before="46"/>
              <w:ind w:left="54"/>
              <w:rPr>
                <w:sz w:val="24"/>
              </w:rPr>
            </w:pPr>
            <w:r>
              <w:rPr>
                <w:sz w:val="24"/>
              </w:rPr>
              <w:t>Quelles sont les catégories d’échelles ?</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46"/>
              <w:ind w:left="56"/>
              <w:rPr>
                <w:sz w:val="24"/>
              </w:rPr>
            </w:pPr>
            <w:r>
              <w:rPr>
                <w:sz w:val="24"/>
              </w:rPr>
              <w:t>On distingue deux catégories d’échelles :</w:t>
            </w:r>
          </w:p>
          <w:p>
            <w:pPr>
              <w:pStyle w:val="TableParagraph"/>
              <w:numPr>
                <w:ilvl w:val="0"/>
                <w:numId w:val="3"/>
              </w:numPr>
              <w:tabs>
                <w:tab w:pos="427" w:val="left" w:leader="none"/>
                <w:tab w:pos="428" w:val="left" w:leader="none"/>
              </w:tabs>
              <w:spacing w:line="232" w:lineRule="auto" w:before="8" w:after="0"/>
              <w:ind w:left="427" w:right="93" w:hanging="286"/>
              <w:jc w:val="left"/>
              <w:rPr>
                <w:sz w:val="24"/>
              </w:rPr>
            </w:pPr>
            <w:r>
              <w:rPr>
                <w:sz w:val="24"/>
              </w:rPr>
              <w:t>Les échelles utilisées commerciale- ment sont déclarées avec « utilisation professionnelle</w:t>
            </w:r>
            <w:r>
              <w:rPr>
                <w:spacing w:val="-2"/>
                <w:sz w:val="24"/>
              </w:rPr>
              <w:t> </w:t>
            </w:r>
            <w:r>
              <w:rPr>
                <w:sz w:val="24"/>
              </w:rPr>
              <w:t>».</w:t>
            </w:r>
          </w:p>
          <w:p>
            <w:pPr>
              <w:pStyle w:val="TableParagraph"/>
              <w:numPr>
                <w:ilvl w:val="0"/>
                <w:numId w:val="3"/>
              </w:numPr>
              <w:tabs>
                <w:tab w:pos="427" w:val="left" w:leader="none"/>
                <w:tab w:pos="428" w:val="left" w:leader="none"/>
              </w:tabs>
              <w:spacing w:line="237" w:lineRule="auto" w:before="6" w:after="0"/>
              <w:ind w:left="427" w:right="93" w:hanging="286"/>
              <w:jc w:val="left"/>
              <w:rPr>
                <w:sz w:val="24"/>
              </w:rPr>
            </w:pPr>
            <w:r>
              <w:rPr>
                <w:sz w:val="24"/>
              </w:rPr>
              <w:t>En raison des exigences moindres </w:t>
            </w:r>
            <w:r>
              <w:rPr>
                <w:spacing w:val="-6"/>
                <w:sz w:val="24"/>
              </w:rPr>
              <w:t>en </w:t>
            </w:r>
            <w:r>
              <w:rPr>
                <w:sz w:val="24"/>
              </w:rPr>
              <w:t>matière de contrôle, les échelles en « utilisation non-professionnelle » ne sont permises que pour l’utilisation privée.</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2"/>
              </w:rPr>
            </w:pPr>
          </w:p>
        </w:tc>
      </w:tr>
    </w:tbl>
    <w:p>
      <w:pPr>
        <w:spacing w:after="0"/>
        <w:rPr>
          <w:rFonts w:ascii="Times New Roman"/>
          <w:sz w:val="22"/>
        </w:rPr>
        <w:sectPr>
          <w:pgSz w:w="16840" w:h="11910" w:orient="landscape"/>
          <w:pgMar w:header="720" w:footer="490" w:top="1580" w:bottom="680" w:left="740" w:right="1040"/>
        </w:sectPr>
      </w:pPr>
    </w:p>
    <w:tbl>
      <w:tblPr>
        <w:tblW w:w="0" w:type="auto"/>
        <w:jc w:val="left"/>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top w:w="0" w:type="dxa"/>
          <w:left w:w="0" w:type="dxa"/>
          <w:bottom w:w="0" w:type="dxa"/>
          <w:right w:w="0" w:type="dxa"/>
        </w:tblCellMar>
        <w:tblLook w:val="01E0"/>
      </w:tblPr>
      <w:tblGrid>
        <w:gridCol w:w="847"/>
        <w:gridCol w:w="4675"/>
        <w:gridCol w:w="4536"/>
        <w:gridCol w:w="4538"/>
      </w:tblGrid>
      <w:tr>
        <w:trPr>
          <w:trHeight w:val="322" w:hRule="atLeast"/>
        </w:trPr>
        <w:tc>
          <w:tcPr>
            <w:tcW w:w="847"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0" w:right="510"/>
              <w:jc w:val="right"/>
              <w:rPr>
                <w:b/>
                <w:sz w:val="24"/>
              </w:rPr>
            </w:pPr>
            <w:r>
              <w:rPr>
                <w:b/>
                <w:sz w:val="24"/>
              </w:rPr>
              <w:t>N°</w:t>
            </w:r>
          </w:p>
        </w:tc>
        <w:tc>
          <w:tcPr>
            <w:tcW w:w="4675"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55"/>
              <w:rPr>
                <w:b/>
                <w:sz w:val="24"/>
              </w:rPr>
            </w:pPr>
            <w:r>
              <w:rPr>
                <w:b/>
                <w:sz w:val="24"/>
              </w:rPr>
              <w:t>Question</w:t>
            </w:r>
          </w:p>
        </w:tc>
        <w:tc>
          <w:tcPr>
            <w:tcW w:w="4536"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Réponse</w:t>
            </w:r>
          </w:p>
        </w:tc>
        <w:tc>
          <w:tcPr>
            <w:tcW w:w="4538"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Observations/Source</w:t>
            </w:r>
          </w:p>
        </w:tc>
      </w:tr>
      <w:tr>
        <w:trPr>
          <w:trHeight w:val="8987"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0" w:right="545"/>
              <w:jc w:val="right"/>
              <w:rPr>
                <w:sz w:val="24"/>
              </w:rPr>
            </w:pPr>
            <w:r>
              <w:rPr>
                <w:sz w:val="24"/>
              </w:rPr>
              <w:t>6</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spacing w:before="46"/>
              <w:ind w:left="55" w:right="42"/>
              <w:jc w:val="both"/>
              <w:rPr>
                <w:sz w:val="24"/>
              </w:rPr>
            </w:pPr>
            <w:r>
              <w:rPr>
                <w:sz w:val="24"/>
              </w:rPr>
              <w:t>Quelle est l’influence des modifications sur certaines fonctions d’échelles en plusieurs parties ?</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46"/>
              <w:ind w:right="41"/>
              <w:jc w:val="both"/>
              <w:rPr>
                <w:sz w:val="24"/>
              </w:rPr>
            </w:pPr>
            <w:r>
              <w:rPr>
                <w:sz w:val="24"/>
              </w:rPr>
              <w:t>Echelles coulissantes en plusieurs</w:t>
            </w:r>
            <w:r>
              <w:rPr>
                <w:spacing w:val="-34"/>
                <w:sz w:val="24"/>
              </w:rPr>
              <w:t> </w:t>
            </w:r>
            <w:r>
              <w:rPr>
                <w:sz w:val="24"/>
              </w:rPr>
              <w:t>parties (éléments &gt; 3,00 m longueur en position rentrée) : les parties d’échelles ne peu- vent plus être utilisées</w:t>
            </w:r>
            <w:r>
              <w:rPr>
                <w:spacing w:val="-3"/>
                <w:sz w:val="24"/>
              </w:rPr>
              <w:t> </w:t>
            </w:r>
            <w:r>
              <w:rPr>
                <w:sz w:val="24"/>
              </w:rPr>
              <w:t>individuellement.</w:t>
            </w:r>
          </w:p>
          <w:p>
            <w:pPr>
              <w:pStyle w:val="TableParagraph"/>
              <w:ind w:left="0"/>
              <w:rPr>
                <w:sz w:val="24"/>
              </w:rPr>
            </w:pPr>
          </w:p>
          <w:p>
            <w:pPr>
              <w:pStyle w:val="TableParagraph"/>
              <w:ind w:right="41"/>
              <w:jc w:val="both"/>
              <w:rPr>
                <w:sz w:val="24"/>
              </w:rPr>
            </w:pPr>
            <w:r>
              <w:rPr>
                <w:sz w:val="24"/>
              </w:rPr>
              <w:t>Echelles multifonctions (échelle supé- rieure &gt; 3,00 m longueur) : l’échelle</w:t>
            </w:r>
            <w:r>
              <w:rPr>
                <w:spacing w:val="-20"/>
                <w:sz w:val="24"/>
              </w:rPr>
              <w:t> </w:t>
            </w:r>
            <w:r>
              <w:rPr>
                <w:sz w:val="24"/>
              </w:rPr>
              <w:t>supé- rieure</w:t>
            </w:r>
            <w:r>
              <w:rPr>
                <w:spacing w:val="-11"/>
                <w:sz w:val="24"/>
              </w:rPr>
              <w:t> </w:t>
            </w:r>
            <w:r>
              <w:rPr>
                <w:sz w:val="24"/>
              </w:rPr>
              <w:t>ne</w:t>
            </w:r>
            <w:r>
              <w:rPr>
                <w:spacing w:val="-11"/>
                <w:sz w:val="24"/>
              </w:rPr>
              <w:t> </w:t>
            </w:r>
            <w:r>
              <w:rPr>
                <w:sz w:val="24"/>
              </w:rPr>
              <w:t>peut</w:t>
            </w:r>
            <w:r>
              <w:rPr>
                <w:spacing w:val="-11"/>
                <w:sz w:val="24"/>
              </w:rPr>
              <w:t> </w:t>
            </w:r>
            <w:r>
              <w:rPr>
                <w:sz w:val="24"/>
              </w:rPr>
              <w:t>plus</w:t>
            </w:r>
            <w:r>
              <w:rPr>
                <w:spacing w:val="-13"/>
                <w:sz w:val="24"/>
              </w:rPr>
              <w:t> </w:t>
            </w:r>
            <w:r>
              <w:rPr>
                <w:sz w:val="24"/>
              </w:rPr>
              <w:t>être</w:t>
            </w:r>
            <w:r>
              <w:rPr>
                <w:spacing w:val="-14"/>
                <w:sz w:val="24"/>
              </w:rPr>
              <w:t> </w:t>
            </w:r>
            <w:r>
              <w:rPr>
                <w:sz w:val="24"/>
              </w:rPr>
              <w:t>utilisée</w:t>
            </w:r>
            <w:r>
              <w:rPr>
                <w:spacing w:val="-10"/>
                <w:sz w:val="24"/>
              </w:rPr>
              <w:t> </w:t>
            </w:r>
            <w:r>
              <w:rPr>
                <w:sz w:val="24"/>
              </w:rPr>
              <w:t>seule,</w:t>
            </w:r>
            <w:r>
              <w:rPr>
                <w:spacing w:val="-11"/>
                <w:sz w:val="24"/>
              </w:rPr>
              <w:t> </w:t>
            </w:r>
            <w:r>
              <w:rPr>
                <w:sz w:val="24"/>
              </w:rPr>
              <w:t>plus d'utilisation comme</w:t>
            </w:r>
            <w:r>
              <w:rPr>
                <w:spacing w:val="-4"/>
                <w:sz w:val="24"/>
              </w:rPr>
              <w:t> </w:t>
            </w:r>
            <w:r>
              <w:rPr>
                <w:sz w:val="24"/>
              </w:rPr>
              <w:t>escalier.</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spacing w:before="4"/>
              <w:ind w:left="0"/>
              <w:rPr>
                <w:sz w:val="4"/>
              </w:rPr>
            </w:pPr>
          </w:p>
          <w:p>
            <w:pPr>
              <w:pStyle w:val="TableParagraph"/>
              <w:ind w:left="249"/>
              <w:rPr>
                <w:sz w:val="20"/>
              </w:rPr>
            </w:pPr>
            <w:r>
              <w:rPr>
                <w:sz w:val="20"/>
              </w:rPr>
              <w:drawing>
                <wp:inline distT="0" distB="0" distL="0" distR="0">
                  <wp:extent cx="1024545" cy="2530602"/>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1024545" cy="2530602"/>
                          </a:xfrm>
                          <a:prstGeom prst="rect">
                            <a:avLst/>
                          </a:prstGeom>
                        </pic:spPr>
                      </pic:pic>
                    </a:graphicData>
                  </a:graphic>
                </wp:inline>
              </w:drawing>
            </w:r>
            <w:r>
              <w:rPr>
                <w:sz w:val="20"/>
              </w:rPr>
            </w:r>
          </w:p>
          <w:p>
            <w:pPr>
              <w:pStyle w:val="TableParagraph"/>
              <w:spacing w:before="5" w:after="1"/>
              <w:ind w:left="0"/>
              <w:rPr>
                <w:sz w:val="9"/>
              </w:rPr>
            </w:pPr>
          </w:p>
          <w:p>
            <w:pPr>
              <w:pStyle w:val="TableParagraph"/>
              <w:ind w:left="171"/>
              <w:rPr>
                <w:sz w:val="20"/>
              </w:rPr>
            </w:pPr>
            <w:r>
              <w:rPr>
                <w:sz w:val="20"/>
              </w:rPr>
              <w:drawing>
                <wp:inline distT="0" distB="0" distL="0" distR="0">
                  <wp:extent cx="1229001" cy="2509837"/>
                  <wp:effectExtent l="0" t="0" r="0" b="0"/>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1229001" cy="2509837"/>
                          </a:xfrm>
                          <a:prstGeom prst="rect">
                            <a:avLst/>
                          </a:prstGeom>
                        </pic:spPr>
                      </pic:pic>
                    </a:graphicData>
                  </a:graphic>
                </wp:inline>
              </w:drawing>
            </w:r>
            <w:r>
              <w:rPr>
                <w:sz w:val="20"/>
              </w:rPr>
            </w:r>
          </w:p>
          <w:p>
            <w:pPr>
              <w:pStyle w:val="TableParagraph"/>
              <w:spacing w:before="86"/>
              <w:rPr>
                <w:sz w:val="16"/>
              </w:rPr>
            </w:pPr>
            <w:r>
              <w:rPr>
                <w:sz w:val="16"/>
              </w:rPr>
              <w:t>Echelle coulissante en plusieurs parties Echelle multifonctions</w:t>
            </w:r>
          </w:p>
        </w:tc>
      </w:tr>
    </w:tbl>
    <w:p>
      <w:pPr>
        <w:spacing w:after="0"/>
        <w:rPr>
          <w:sz w:val="16"/>
        </w:rPr>
        <w:sectPr>
          <w:pgSz w:w="16840" w:h="11910" w:orient="landscape"/>
          <w:pgMar w:header="720" w:footer="490" w:top="1580" w:bottom="680" w:left="740" w:right="1040"/>
        </w:sectPr>
      </w:pPr>
    </w:p>
    <w:tbl>
      <w:tblPr>
        <w:tblW w:w="0" w:type="auto"/>
        <w:jc w:val="left"/>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top w:w="0" w:type="dxa"/>
          <w:left w:w="0" w:type="dxa"/>
          <w:bottom w:w="0" w:type="dxa"/>
          <w:right w:w="0" w:type="dxa"/>
        </w:tblCellMar>
        <w:tblLook w:val="01E0"/>
      </w:tblPr>
      <w:tblGrid>
        <w:gridCol w:w="847"/>
        <w:gridCol w:w="4675"/>
        <w:gridCol w:w="4536"/>
        <w:gridCol w:w="4538"/>
      </w:tblGrid>
      <w:tr>
        <w:trPr>
          <w:trHeight w:val="322" w:hRule="atLeast"/>
        </w:trPr>
        <w:tc>
          <w:tcPr>
            <w:tcW w:w="847"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0" w:right="510"/>
              <w:jc w:val="right"/>
              <w:rPr>
                <w:b/>
                <w:sz w:val="24"/>
              </w:rPr>
            </w:pPr>
            <w:r>
              <w:rPr>
                <w:b/>
                <w:sz w:val="24"/>
              </w:rPr>
              <w:t>N°</w:t>
            </w:r>
          </w:p>
        </w:tc>
        <w:tc>
          <w:tcPr>
            <w:tcW w:w="4675"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55"/>
              <w:rPr>
                <w:b/>
                <w:sz w:val="24"/>
              </w:rPr>
            </w:pPr>
            <w:r>
              <w:rPr>
                <w:b/>
                <w:sz w:val="24"/>
              </w:rPr>
              <w:t>Question</w:t>
            </w:r>
          </w:p>
        </w:tc>
        <w:tc>
          <w:tcPr>
            <w:tcW w:w="4536"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Réponse</w:t>
            </w:r>
          </w:p>
        </w:tc>
        <w:tc>
          <w:tcPr>
            <w:tcW w:w="4538"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Observations/Source</w:t>
            </w:r>
          </w:p>
        </w:tc>
      </w:tr>
      <w:tr>
        <w:trPr>
          <w:trHeight w:val="4749"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0" w:right="545"/>
              <w:jc w:val="right"/>
              <w:rPr>
                <w:sz w:val="24"/>
              </w:rPr>
            </w:pPr>
            <w:r>
              <w:rPr>
                <w:sz w:val="24"/>
              </w:rPr>
              <w:t>7</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spacing w:before="46"/>
              <w:ind w:left="55" w:hanging="1"/>
              <w:rPr>
                <w:sz w:val="24"/>
              </w:rPr>
            </w:pPr>
            <w:r>
              <w:rPr>
                <w:sz w:val="24"/>
              </w:rPr>
              <w:t>Le contrôle périodique des échelles est-il influencé par les changements de normes</w:t>
            </w:r>
          </w:p>
          <w:p>
            <w:pPr>
              <w:pStyle w:val="TableParagraph"/>
              <w:ind w:left="55"/>
              <w:rPr>
                <w:sz w:val="24"/>
              </w:rPr>
            </w:pPr>
            <w:r>
              <w:rPr>
                <w:sz w:val="24"/>
              </w:rPr>
              <w:t>?</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46"/>
              <w:ind w:right="40"/>
              <w:jc w:val="both"/>
              <w:rPr>
                <w:sz w:val="24"/>
              </w:rPr>
            </w:pPr>
            <w:r>
              <w:rPr>
                <w:sz w:val="24"/>
              </w:rPr>
              <w:t>Non, les prescriptions restent les</w:t>
            </w:r>
            <w:r>
              <w:rPr>
                <w:spacing w:val="-50"/>
                <w:sz w:val="24"/>
              </w:rPr>
              <w:t> </w:t>
            </w:r>
            <w:r>
              <w:rPr>
                <w:sz w:val="24"/>
              </w:rPr>
              <w:t>mêmes : contrôle selon les indications du</w:t>
            </w:r>
            <w:r>
              <w:rPr>
                <w:spacing w:val="-41"/>
                <w:sz w:val="24"/>
              </w:rPr>
              <w:t> </w:t>
            </w:r>
            <w:r>
              <w:rPr>
                <w:sz w:val="24"/>
              </w:rPr>
              <w:t>fabricant, au min. cependant 1x par</w:t>
            </w:r>
            <w:r>
              <w:rPr>
                <w:spacing w:val="-7"/>
                <w:sz w:val="24"/>
              </w:rPr>
              <w:t> </w:t>
            </w:r>
            <w:r>
              <w:rPr>
                <w:sz w:val="24"/>
              </w:rPr>
              <w:t>an.</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spacing w:before="46"/>
              <w:ind w:right="42"/>
              <w:jc w:val="both"/>
              <w:rPr>
                <w:sz w:val="24"/>
              </w:rPr>
            </w:pPr>
            <w:r>
              <w:rPr>
                <w:sz w:val="24"/>
              </w:rPr>
              <w:t>Objectif : garantie que les échelles utili- sées satisfassent aux prescriptions en vi- gueur, correspondent à l’état actuel de la technique et sont exemptes de dom- mages. Le contrôle est documenté. Il est recommandé d’apposer une plaquette de contrôle sur l’échelle afin d’indiquer qu’elle est utilisable.</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75"/>
              <w:ind w:left="1953"/>
              <w:rPr>
                <w:sz w:val="16"/>
              </w:rPr>
            </w:pPr>
            <w:r>
              <w:rPr>
                <w:sz w:val="16"/>
              </w:rPr>
              <w:t>Exemple plaquette de contrôle</w:t>
            </w:r>
          </w:p>
        </w:tc>
      </w:tr>
      <w:tr>
        <w:trPr>
          <w:trHeight w:val="4254"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0" w:right="545"/>
              <w:jc w:val="right"/>
              <w:rPr>
                <w:sz w:val="24"/>
              </w:rPr>
            </w:pPr>
            <w:r>
              <w:rPr>
                <w:sz w:val="24"/>
              </w:rPr>
              <w:t>8</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tabs>
                <w:tab w:pos="1246" w:val="left" w:leader="none"/>
                <w:tab w:pos="1855" w:val="left" w:leader="none"/>
                <w:tab w:pos="3090" w:val="left" w:leader="none"/>
                <w:tab w:pos="3566" w:val="left" w:leader="none"/>
              </w:tabs>
              <w:spacing w:before="46"/>
              <w:ind w:left="55" w:right="44" w:hanging="1"/>
              <w:rPr>
                <w:sz w:val="24"/>
              </w:rPr>
            </w:pPr>
            <w:r>
              <w:rPr>
                <w:sz w:val="24"/>
              </w:rPr>
              <w:t>Existe-t-il</w:t>
              <w:tab/>
              <w:t>une</w:t>
              <w:tab/>
              <w:t>obligation</w:t>
              <w:tab/>
              <w:t>de</w:t>
              <w:tab/>
            </w:r>
            <w:r>
              <w:rPr>
                <w:spacing w:val="-3"/>
                <w:sz w:val="24"/>
              </w:rPr>
              <w:t>compléter </w:t>
            </w:r>
            <w:r>
              <w:rPr>
                <w:sz w:val="24"/>
              </w:rPr>
              <w:t>l’équipement des échelles disponibles</w:t>
            </w:r>
            <w:r>
              <w:rPr>
                <w:spacing w:val="-5"/>
                <w:sz w:val="24"/>
              </w:rPr>
              <w:t> </w:t>
            </w:r>
            <w:r>
              <w:rPr>
                <w:sz w:val="24"/>
              </w:rPr>
              <w:t>?</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46"/>
              <w:rPr>
                <w:sz w:val="24"/>
              </w:rPr>
            </w:pPr>
            <w:r>
              <w:rPr>
                <w:sz w:val="24"/>
              </w:rPr>
              <w:t>Non, la conservation du stock est la règle.</w:t>
            </w:r>
          </w:p>
          <w:p>
            <w:pPr>
              <w:pStyle w:val="TableParagraph"/>
              <w:ind w:left="0"/>
              <w:rPr>
                <w:sz w:val="26"/>
              </w:rPr>
            </w:pPr>
          </w:p>
          <w:p>
            <w:pPr>
              <w:pStyle w:val="TableParagraph"/>
              <w:ind w:left="0"/>
              <w:rPr>
                <w:sz w:val="26"/>
              </w:rPr>
            </w:pPr>
          </w:p>
          <w:p>
            <w:pPr>
              <w:pStyle w:val="TableParagraph"/>
              <w:spacing w:before="230"/>
              <w:rPr>
                <w:sz w:val="24"/>
              </w:rPr>
            </w:pPr>
            <w:r>
              <w:rPr>
                <w:sz w:val="24"/>
              </w:rPr>
              <w:t>Mais…</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spacing w:before="46"/>
              <w:ind w:right="42"/>
              <w:jc w:val="both"/>
              <w:rPr>
                <w:sz w:val="24"/>
              </w:rPr>
            </w:pPr>
            <w:r>
              <w:rPr>
                <w:sz w:val="24"/>
              </w:rPr>
              <w:t>En ce qui a trait à la sécurité lors de l’utili- sation de l’échelle, compléter l’équipe- ment serait judicieux.</w:t>
            </w:r>
          </w:p>
          <w:p>
            <w:pPr>
              <w:pStyle w:val="TableParagraph"/>
              <w:spacing w:before="11"/>
              <w:ind w:left="0"/>
              <w:rPr>
                <w:sz w:val="23"/>
              </w:rPr>
            </w:pPr>
          </w:p>
          <w:p>
            <w:pPr>
              <w:pStyle w:val="TableParagraph"/>
              <w:ind w:right="1310"/>
              <w:jc w:val="both"/>
              <w:rPr>
                <w:sz w:val="24"/>
              </w:rPr>
            </w:pPr>
            <w:r>
              <w:rPr>
                <w:sz w:val="24"/>
              </w:rPr>
              <w:t>Selon le législateur, il y a </w:t>
            </w:r>
            <w:r>
              <w:rPr>
                <w:spacing w:val="-3"/>
                <w:sz w:val="24"/>
              </w:rPr>
              <w:t>lieu </w:t>
            </w:r>
            <w:r>
              <w:rPr>
                <w:sz w:val="24"/>
              </w:rPr>
              <w:t>de prendre entre autres </w:t>
            </w:r>
            <w:r>
              <w:rPr>
                <w:spacing w:val="-5"/>
                <w:sz w:val="24"/>
              </w:rPr>
              <w:t>les </w:t>
            </w:r>
            <w:r>
              <w:rPr>
                <w:sz w:val="24"/>
              </w:rPr>
              <w:t>mesures « dont l'expérience</w:t>
            </w:r>
            <w:r>
              <w:rPr>
                <w:spacing w:val="-44"/>
                <w:sz w:val="24"/>
              </w:rPr>
              <w:t> </w:t>
            </w:r>
            <w:r>
              <w:rPr>
                <w:sz w:val="24"/>
              </w:rPr>
              <w:t>a démontré la nécessité » et </w:t>
            </w:r>
            <w:r>
              <w:rPr>
                <w:spacing w:val="-11"/>
                <w:sz w:val="24"/>
              </w:rPr>
              <w:t>« </w:t>
            </w:r>
            <w:r>
              <w:rPr>
                <w:sz w:val="24"/>
              </w:rPr>
              <w:t>que l'état de la technique per- met d’appliquer</w:t>
            </w:r>
            <w:r>
              <w:rPr>
                <w:spacing w:val="-3"/>
                <w:sz w:val="24"/>
              </w:rPr>
              <w:t> </w:t>
            </w:r>
            <w:r>
              <w:rPr>
                <w:sz w:val="24"/>
              </w:rPr>
              <w:t>».</w:t>
            </w:r>
          </w:p>
          <w:p>
            <w:pPr>
              <w:pStyle w:val="TableParagraph"/>
              <w:ind w:left="0"/>
              <w:rPr>
                <w:sz w:val="24"/>
              </w:rPr>
            </w:pPr>
          </w:p>
          <w:p>
            <w:pPr>
              <w:pStyle w:val="TableParagraph"/>
              <w:ind w:right="43"/>
              <w:jc w:val="both"/>
              <w:rPr>
                <w:sz w:val="24"/>
              </w:rPr>
            </w:pPr>
            <w:r>
              <w:rPr>
                <w:sz w:val="24"/>
              </w:rPr>
              <w:t>Ce sont là de bons arguments pour com- pléter, voire remplacer l’équipement.</w:t>
            </w:r>
          </w:p>
        </w:tc>
      </w:tr>
    </w:tbl>
    <w:p>
      <w:pPr>
        <w:rPr>
          <w:sz w:val="2"/>
          <w:szCs w:val="2"/>
        </w:rPr>
      </w:pPr>
      <w:r>
        <w:rPr/>
        <w:drawing>
          <wp:anchor distT="0" distB="0" distL="0" distR="0" allowOverlap="1" layoutInCell="1" locked="0" behindDoc="1" simplePos="0" relativeHeight="251216896">
            <wp:simplePos x="0" y="0"/>
            <wp:positionH relativeFrom="page">
              <wp:posOffset>6967728</wp:posOffset>
            </wp:positionH>
            <wp:positionV relativeFrom="page">
              <wp:posOffset>2883408</wp:posOffset>
            </wp:positionV>
            <wp:extent cx="1214947" cy="1179576"/>
            <wp:effectExtent l="0" t="0" r="0" b="0"/>
            <wp:wrapNone/>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1214947" cy="1179576"/>
                    </a:xfrm>
                    <a:prstGeom prst="rect">
                      <a:avLst/>
                    </a:prstGeom>
                  </pic:spPr>
                </pic:pic>
              </a:graphicData>
            </a:graphic>
          </wp:anchor>
        </w:drawing>
      </w:r>
      <w:r>
        <w:rPr/>
        <w:drawing>
          <wp:anchor distT="0" distB="0" distL="0" distR="0" allowOverlap="1" layoutInCell="1" locked="0" behindDoc="1" simplePos="0" relativeHeight="251217920">
            <wp:simplePos x="0" y="0"/>
            <wp:positionH relativeFrom="page">
              <wp:posOffset>9098551</wp:posOffset>
            </wp:positionH>
            <wp:positionV relativeFrom="page">
              <wp:posOffset>5047488</wp:posOffset>
            </wp:positionV>
            <wp:extent cx="644796" cy="787907"/>
            <wp:effectExtent l="0" t="0" r="0" b="0"/>
            <wp:wrapNone/>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644796" cy="787907"/>
                    </a:xfrm>
                    <a:prstGeom prst="rect">
                      <a:avLst/>
                    </a:prstGeom>
                  </pic:spPr>
                </pic:pic>
              </a:graphicData>
            </a:graphic>
          </wp:anchor>
        </w:drawing>
      </w:r>
    </w:p>
    <w:p>
      <w:pPr>
        <w:spacing w:after="0"/>
        <w:rPr>
          <w:sz w:val="2"/>
          <w:szCs w:val="2"/>
        </w:rPr>
        <w:sectPr>
          <w:pgSz w:w="16840" w:h="11910" w:orient="landscape"/>
          <w:pgMar w:header="720" w:footer="490" w:top="1580" w:bottom="680" w:left="740" w:right="1040"/>
        </w:sectPr>
      </w:pPr>
    </w:p>
    <w:tbl>
      <w:tblPr>
        <w:tblW w:w="0" w:type="auto"/>
        <w:jc w:val="left"/>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top w:w="0" w:type="dxa"/>
          <w:left w:w="0" w:type="dxa"/>
          <w:bottom w:w="0" w:type="dxa"/>
          <w:right w:w="0" w:type="dxa"/>
        </w:tblCellMar>
        <w:tblLook w:val="01E0"/>
      </w:tblPr>
      <w:tblGrid>
        <w:gridCol w:w="847"/>
        <w:gridCol w:w="4675"/>
        <w:gridCol w:w="4536"/>
        <w:gridCol w:w="4538"/>
      </w:tblGrid>
      <w:tr>
        <w:trPr>
          <w:trHeight w:val="322" w:hRule="atLeast"/>
        </w:trPr>
        <w:tc>
          <w:tcPr>
            <w:tcW w:w="847"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0" w:right="510"/>
              <w:jc w:val="right"/>
              <w:rPr>
                <w:b/>
                <w:sz w:val="24"/>
              </w:rPr>
            </w:pPr>
            <w:r>
              <w:rPr>
                <w:b/>
                <w:sz w:val="24"/>
              </w:rPr>
              <w:t>N°</w:t>
            </w:r>
          </w:p>
        </w:tc>
        <w:tc>
          <w:tcPr>
            <w:tcW w:w="4675" w:type="dxa"/>
            <w:tcBorders>
              <w:left w:val="single" w:sz="4" w:space="0" w:color="000000"/>
              <w:bottom w:val="single" w:sz="4" w:space="0" w:color="000000"/>
              <w:right w:val="single" w:sz="4" w:space="0" w:color="000000"/>
            </w:tcBorders>
            <w:shd w:val="clear" w:color="auto" w:fill="BFBFBF"/>
          </w:tcPr>
          <w:p>
            <w:pPr>
              <w:pStyle w:val="TableParagraph"/>
              <w:spacing w:line="253" w:lineRule="exact"/>
              <w:ind w:left="55"/>
              <w:rPr>
                <w:b/>
                <w:sz w:val="24"/>
              </w:rPr>
            </w:pPr>
            <w:r>
              <w:rPr>
                <w:b/>
                <w:sz w:val="24"/>
              </w:rPr>
              <w:t>Question</w:t>
            </w:r>
          </w:p>
        </w:tc>
        <w:tc>
          <w:tcPr>
            <w:tcW w:w="4536"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Réponse</w:t>
            </w:r>
          </w:p>
        </w:tc>
        <w:tc>
          <w:tcPr>
            <w:tcW w:w="4538" w:type="dxa"/>
            <w:tcBorders>
              <w:left w:val="single" w:sz="4" w:space="0" w:color="000000"/>
              <w:bottom w:val="single" w:sz="4" w:space="0" w:color="000000"/>
              <w:right w:val="single" w:sz="4" w:space="0" w:color="000000"/>
            </w:tcBorders>
            <w:shd w:val="clear" w:color="auto" w:fill="BFBFBF"/>
          </w:tcPr>
          <w:p>
            <w:pPr>
              <w:pStyle w:val="TableParagraph"/>
              <w:spacing w:line="253" w:lineRule="exact"/>
              <w:rPr>
                <w:b/>
                <w:sz w:val="24"/>
              </w:rPr>
            </w:pPr>
            <w:r>
              <w:rPr>
                <w:b/>
                <w:sz w:val="24"/>
              </w:rPr>
              <w:t>Observations/Source</w:t>
            </w:r>
          </w:p>
        </w:tc>
      </w:tr>
      <w:tr>
        <w:trPr>
          <w:trHeight w:val="3830" w:hRule="atLeast"/>
        </w:trPr>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0" w:right="545"/>
              <w:jc w:val="right"/>
              <w:rPr>
                <w:sz w:val="24"/>
              </w:rPr>
            </w:pPr>
            <w:r>
              <w:rPr>
                <w:sz w:val="24"/>
              </w:rPr>
              <w:t>9</w:t>
            </w:r>
          </w:p>
        </w:tc>
        <w:tc>
          <w:tcPr>
            <w:tcW w:w="4675" w:type="dxa"/>
            <w:tcBorders>
              <w:top w:val="single" w:sz="4" w:space="0" w:color="000000"/>
              <w:left w:val="single" w:sz="4" w:space="0" w:color="000000"/>
              <w:bottom w:val="single" w:sz="4" w:space="0" w:color="000000"/>
              <w:right w:val="single" w:sz="4" w:space="0" w:color="000000"/>
            </w:tcBorders>
          </w:tcPr>
          <w:p>
            <w:pPr>
              <w:pStyle w:val="TableParagraph"/>
              <w:spacing w:before="46"/>
              <w:ind w:left="55" w:hanging="1"/>
              <w:rPr>
                <w:sz w:val="24"/>
              </w:rPr>
            </w:pPr>
            <w:r>
              <w:rPr>
                <w:sz w:val="24"/>
              </w:rPr>
              <w:t>Est-il possible de compléter l’équipement des échelles disponibles ?</w:t>
            </w:r>
          </w:p>
        </w:tc>
        <w:tc>
          <w:tcPr>
            <w:tcW w:w="4536" w:type="dxa"/>
            <w:tcBorders>
              <w:top w:val="single" w:sz="4" w:space="0" w:color="000000"/>
              <w:left w:val="single" w:sz="4" w:space="0" w:color="000000"/>
              <w:bottom w:val="single" w:sz="4" w:space="0" w:color="000000"/>
              <w:right w:val="single" w:sz="4" w:space="0" w:color="000000"/>
            </w:tcBorders>
          </w:tcPr>
          <w:p>
            <w:pPr>
              <w:pStyle w:val="TableParagraph"/>
              <w:spacing w:before="46"/>
              <w:rPr>
                <w:sz w:val="24"/>
              </w:rPr>
            </w:pPr>
            <w:r>
              <w:rPr>
                <w:sz w:val="24"/>
              </w:rPr>
              <w:t>Oui, pour les échelles plus récentes cela est possible dans la plupart des cas.</w:t>
            </w:r>
          </w:p>
          <w:p>
            <w:pPr>
              <w:pStyle w:val="TableParagraph"/>
              <w:spacing w:before="4"/>
              <w:ind w:left="0"/>
              <w:rPr>
                <w:sz w:val="24"/>
              </w:rPr>
            </w:pPr>
          </w:p>
          <w:p>
            <w:pPr>
              <w:pStyle w:val="TableParagraph"/>
              <w:rPr>
                <w:sz w:val="20"/>
              </w:rPr>
            </w:pPr>
            <w:r>
              <w:rPr>
                <w:sz w:val="20"/>
              </w:rPr>
              <w:drawing>
                <wp:inline distT="0" distB="0" distL="0" distR="0">
                  <wp:extent cx="2706226" cy="1606296"/>
                  <wp:effectExtent l="0" t="0" r="0" b="0"/>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2706226" cy="1606296"/>
                          </a:xfrm>
                          <a:prstGeom prst="rect">
                            <a:avLst/>
                          </a:prstGeom>
                        </pic:spPr>
                      </pic:pic>
                    </a:graphicData>
                  </a:graphic>
                </wp:inline>
              </w:drawing>
            </w:r>
            <w:r>
              <w:rPr>
                <w:sz w:val="20"/>
              </w:rPr>
            </w:r>
          </w:p>
          <w:p>
            <w:pPr>
              <w:pStyle w:val="TableParagraph"/>
              <w:rPr>
                <w:sz w:val="16"/>
              </w:rPr>
            </w:pPr>
            <w:r>
              <w:rPr>
                <w:sz w:val="16"/>
              </w:rPr>
              <w:t>Equipement de la traverse complété</w:t>
            </w:r>
          </w:p>
        </w:tc>
        <w:tc>
          <w:tcPr>
            <w:tcW w:w="4538" w:type="dxa"/>
            <w:tcBorders>
              <w:top w:val="single" w:sz="4" w:space="0" w:color="000000"/>
              <w:left w:val="single" w:sz="4" w:space="0" w:color="000000"/>
              <w:bottom w:val="single" w:sz="4" w:space="0" w:color="000000"/>
              <w:right w:val="single" w:sz="4" w:space="0" w:color="000000"/>
            </w:tcBorders>
          </w:tcPr>
          <w:p>
            <w:pPr>
              <w:pStyle w:val="TableParagraph"/>
              <w:spacing w:before="46"/>
              <w:ind w:right="43"/>
              <w:jc w:val="both"/>
              <w:rPr>
                <w:sz w:val="24"/>
              </w:rPr>
            </w:pPr>
            <w:r>
              <w:rPr>
                <w:sz w:val="24"/>
              </w:rPr>
              <w:t>Renseignez-vous auprès du fabricant d’échelles et utilisez exclusivement des pièces originales.</w:t>
            </w:r>
          </w:p>
          <w:p>
            <w:pPr>
              <w:pStyle w:val="TableParagraph"/>
              <w:spacing w:before="11"/>
              <w:ind w:left="0"/>
              <w:rPr>
                <w:sz w:val="23"/>
              </w:rPr>
            </w:pPr>
          </w:p>
          <w:p>
            <w:pPr>
              <w:pStyle w:val="TableParagraph"/>
              <w:ind w:right="44"/>
              <w:jc w:val="both"/>
              <w:rPr>
                <w:sz w:val="24"/>
              </w:rPr>
            </w:pPr>
            <w:r>
              <w:rPr>
                <w:sz w:val="24"/>
              </w:rPr>
              <w:t>Ainsi,</w:t>
            </w:r>
            <w:r>
              <w:rPr>
                <w:spacing w:val="-19"/>
                <w:sz w:val="24"/>
              </w:rPr>
              <w:t> </w:t>
            </w:r>
            <w:r>
              <w:rPr>
                <w:sz w:val="24"/>
              </w:rPr>
              <w:t>la</w:t>
            </w:r>
            <w:r>
              <w:rPr>
                <w:spacing w:val="-15"/>
                <w:sz w:val="24"/>
              </w:rPr>
              <w:t> </w:t>
            </w:r>
            <w:r>
              <w:rPr>
                <w:sz w:val="24"/>
              </w:rPr>
              <w:t>compatibilité</w:t>
            </w:r>
            <w:r>
              <w:rPr>
                <w:spacing w:val="-18"/>
                <w:sz w:val="24"/>
              </w:rPr>
              <w:t> </w:t>
            </w:r>
            <w:r>
              <w:rPr>
                <w:sz w:val="24"/>
              </w:rPr>
              <w:t>serait</w:t>
            </w:r>
            <w:r>
              <w:rPr>
                <w:spacing w:val="-18"/>
                <w:sz w:val="24"/>
              </w:rPr>
              <w:t> </w:t>
            </w:r>
            <w:r>
              <w:rPr>
                <w:sz w:val="24"/>
              </w:rPr>
              <w:t>assurée,</w:t>
            </w:r>
            <w:r>
              <w:rPr>
                <w:spacing w:val="-18"/>
                <w:sz w:val="24"/>
              </w:rPr>
              <w:t> </w:t>
            </w:r>
            <w:r>
              <w:rPr>
                <w:sz w:val="24"/>
              </w:rPr>
              <w:t>et</w:t>
            </w:r>
            <w:r>
              <w:rPr>
                <w:spacing w:val="-18"/>
                <w:sz w:val="24"/>
              </w:rPr>
              <w:t> </w:t>
            </w:r>
            <w:r>
              <w:rPr>
                <w:sz w:val="24"/>
              </w:rPr>
              <w:t>les questions de responsabilité</w:t>
            </w:r>
            <w:r>
              <w:rPr>
                <w:spacing w:val="2"/>
                <w:sz w:val="24"/>
              </w:rPr>
              <w:t> </w:t>
            </w:r>
            <w:r>
              <w:rPr>
                <w:sz w:val="24"/>
              </w:rPr>
              <w:t>éludées.</w:t>
            </w:r>
          </w:p>
        </w:tc>
      </w:tr>
      <w:tr>
        <w:trPr>
          <w:trHeight w:val="1482" w:hRule="atLeast"/>
        </w:trPr>
        <w:tc>
          <w:tcPr>
            <w:tcW w:w="847" w:type="dxa"/>
            <w:tcBorders>
              <w:top w:val="single" w:sz="4" w:space="0" w:color="000000"/>
              <w:left w:val="single" w:sz="4" w:space="0" w:color="000000"/>
              <w:bottom w:val="nil"/>
              <w:right w:val="single" w:sz="4" w:space="0" w:color="000000"/>
            </w:tcBorders>
          </w:tcPr>
          <w:p>
            <w:pPr>
              <w:pStyle w:val="TableParagraph"/>
              <w:spacing w:before="46"/>
              <w:ind w:left="0" w:right="546"/>
              <w:jc w:val="right"/>
              <w:rPr>
                <w:sz w:val="24"/>
              </w:rPr>
            </w:pPr>
            <w:r>
              <w:rPr>
                <w:sz w:val="24"/>
              </w:rPr>
              <w:t>10</w:t>
            </w:r>
          </w:p>
        </w:tc>
        <w:tc>
          <w:tcPr>
            <w:tcW w:w="4675" w:type="dxa"/>
            <w:tcBorders>
              <w:top w:val="single" w:sz="4" w:space="0" w:color="000000"/>
              <w:left w:val="single" w:sz="4" w:space="0" w:color="000000"/>
              <w:bottom w:val="nil"/>
              <w:right w:val="single" w:sz="4" w:space="0" w:color="000000"/>
            </w:tcBorders>
          </w:tcPr>
          <w:p>
            <w:pPr>
              <w:pStyle w:val="TableParagraph"/>
              <w:spacing w:before="46"/>
              <w:ind w:left="55" w:right="34" w:hanging="1"/>
              <w:rPr>
                <w:sz w:val="24"/>
              </w:rPr>
            </w:pPr>
            <w:r>
              <w:rPr>
                <w:sz w:val="24"/>
              </w:rPr>
              <w:t>Quelle doit être la largeur minimale de la traverse,</w:t>
            </w:r>
            <w:r>
              <w:rPr>
                <w:spacing w:val="-12"/>
                <w:sz w:val="24"/>
              </w:rPr>
              <w:t> </w:t>
            </w:r>
            <w:r>
              <w:rPr>
                <w:sz w:val="24"/>
              </w:rPr>
              <w:t>respectivement</w:t>
            </w:r>
            <w:r>
              <w:rPr>
                <w:spacing w:val="-9"/>
                <w:sz w:val="24"/>
              </w:rPr>
              <w:t> </w:t>
            </w:r>
            <w:r>
              <w:rPr>
                <w:sz w:val="24"/>
              </w:rPr>
              <w:t>la</w:t>
            </w:r>
            <w:r>
              <w:rPr>
                <w:spacing w:val="-15"/>
                <w:sz w:val="24"/>
              </w:rPr>
              <w:t> </w:t>
            </w:r>
            <w:r>
              <w:rPr>
                <w:sz w:val="24"/>
              </w:rPr>
              <w:t>largeur</w:t>
            </w:r>
            <w:r>
              <w:rPr>
                <w:spacing w:val="-14"/>
                <w:sz w:val="24"/>
              </w:rPr>
              <w:t> </w:t>
            </w:r>
            <w:r>
              <w:rPr>
                <w:sz w:val="24"/>
              </w:rPr>
              <w:t>sur</w:t>
            </w:r>
            <w:r>
              <w:rPr>
                <w:spacing w:val="-10"/>
                <w:sz w:val="24"/>
              </w:rPr>
              <w:t> </w:t>
            </w:r>
            <w:r>
              <w:rPr>
                <w:sz w:val="24"/>
              </w:rPr>
              <w:t>pied</w:t>
            </w:r>
          </w:p>
          <w:p>
            <w:pPr>
              <w:pStyle w:val="TableParagraph"/>
              <w:ind w:left="55"/>
              <w:rPr>
                <w:sz w:val="24"/>
              </w:rPr>
            </w:pPr>
            <w:r>
              <w:rPr>
                <w:sz w:val="24"/>
              </w:rPr>
              <w:t>?</w:t>
            </w:r>
          </w:p>
        </w:tc>
        <w:tc>
          <w:tcPr>
            <w:tcW w:w="4536" w:type="dxa"/>
            <w:tcBorders>
              <w:top w:val="single" w:sz="4" w:space="0" w:color="000000"/>
              <w:left w:val="single" w:sz="4" w:space="0" w:color="000000"/>
              <w:bottom w:val="nil"/>
              <w:right w:val="single" w:sz="4" w:space="0" w:color="000000"/>
            </w:tcBorders>
          </w:tcPr>
          <w:p>
            <w:pPr>
              <w:pStyle w:val="TableParagraph"/>
              <w:spacing w:before="46"/>
              <w:ind w:right="42"/>
              <w:jc w:val="both"/>
              <w:rPr>
                <w:sz w:val="24"/>
              </w:rPr>
            </w:pPr>
            <w:r>
              <w:rPr>
                <w:sz w:val="24"/>
              </w:rPr>
              <w:t>b1 = écartement (dimension intérieure) entre les échelons/degrés mesuré à l’échelon/degré le plus court</w:t>
            </w:r>
          </w:p>
          <w:p>
            <w:pPr>
              <w:pStyle w:val="TableParagraph"/>
              <w:spacing w:before="184"/>
              <w:jc w:val="both"/>
              <w:rPr>
                <w:sz w:val="24"/>
              </w:rPr>
            </w:pPr>
            <w:r>
              <w:rPr>
                <w:sz w:val="24"/>
              </w:rPr>
              <w:t>l = longueur totale de l'échelle (maximum)</w:t>
            </w:r>
          </w:p>
        </w:tc>
        <w:tc>
          <w:tcPr>
            <w:tcW w:w="4538" w:type="dxa"/>
            <w:tcBorders>
              <w:top w:val="single" w:sz="4" w:space="0" w:color="000000"/>
              <w:left w:val="single" w:sz="4" w:space="0" w:color="000000"/>
              <w:bottom w:val="nil"/>
              <w:right w:val="single" w:sz="4" w:space="0" w:color="000000"/>
            </w:tcBorders>
          </w:tcPr>
          <w:p>
            <w:pPr>
              <w:pStyle w:val="TableParagraph"/>
              <w:spacing w:before="46"/>
              <w:rPr>
                <w:sz w:val="24"/>
              </w:rPr>
            </w:pPr>
            <w:r>
              <w:rPr>
                <w:sz w:val="24"/>
              </w:rPr>
              <w:t>Exemple</w:t>
            </w:r>
            <w:r>
              <w:rPr>
                <w:spacing w:val="1"/>
                <w:sz w:val="24"/>
              </w:rPr>
              <w:t> </w:t>
            </w:r>
            <w:r>
              <w:rPr>
                <w:sz w:val="24"/>
              </w:rPr>
              <w:t>:</w:t>
            </w:r>
          </w:p>
          <w:p>
            <w:pPr>
              <w:pStyle w:val="TableParagraph"/>
              <w:spacing w:before="11"/>
              <w:ind w:left="0"/>
              <w:rPr>
                <w:sz w:val="23"/>
              </w:rPr>
            </w:pPr>
          </w:p>
          <w:p>
            <w:pPr>
              <w:pStyle w:val="TableParagraph"/>
              <w:ind w:right="3059"/>
              <w:rPr>
                <w:sz w:val="24"/>
              </w:rPr>
            </w:pPr>
            <w:r>
              <w:rPr>
                <w:sz w:val="24"/>
              </w:rPr>
              <w:t>b1 = 300 </w:t>
            </w:r>
            <w:r>
              <w:rPr>
                <w:spacing w:val="-8"/>
                <w:sz w:val="24"/>
              </w:rPr>
              <w:t>mm </w:t>
            </w:r>
            <w:r>
              <w:rPr>
                <w:sz w:val="24"/>
              </w:rPr>
              <w:t>l = 4500 mm t = 25</w:t>
            </w:r>
            <w:r>
              <w:rPr>
                <w:spacing w:val="1"/>
                <w:sz w:val="24"/>
              </w:rPr>
              <w:t> </w:t>
            </w:r>
            <w:r>
              <w:rPr>
                <w:sz w:val="24"/>
              </w:rPr>
              <w:t>mm</w:t>
            </w:r>
          </w:p>
        </w:tc>
      </w:tr>
      <w:tr>
        <w:trPr>
          <w:trHeight w:val="506" w:hRule="atLeast"/>
        </w:trPr>
        <w:tc>
          <w:tcPr>
            <w:tcW w:w="847" w:type="dxa"/>
            <w:tcBorders>
              <w:top w:val="nil"/>
              <w:left w:val="single" w:sz="4" w:space="0" w:color="000000"/>
              <w:bottom w:val="nil"/>
              <w:right w:val="single" w:sz="4" w:space="0" w:color="000000"/>
            </w:tcBorders>
          </w:tcPr>
          <w:p>
            <w:pPr>
              <w:pStyle w:val="TableParagraph"/>
              <w:ind w:left="0"/>
              <w:rPr>
                <w:rFonts w:ascii="Times New Roman"/>
                <w:sz w:val="22"/>
              </w:rPr>
            </w:pPr>
          </w:p>
        </w:tc>
        <w:tc>
          <w:tcPr>
            <w:tcW w:w="4675" w:type="dxa"/>
            <w:tcBorders>
              <w:top w:val="nil"/>
              <w:left w:val="single" w:sz="4" w:space="0" w:color="000000"/>
              <w:bottom w:val="nil"/>
              <w:right w:val="single" w:sz="4" w:space="0" w:color="000000"/>
            </w:tcBorders>
          </w:tcPr>
          <w:p>
            <w:pPr>
              <w:pStyle w:val="TableParagraph"/>
              <w:ind w:left="0"/>
              <w:rPr>
                <w:rFonts w:ascii="Times New Roman"/>
                <w:sz w:val="22"/>
              </w:rPr>
            </w:pPr>
          </w:p>
        </w:tc>
        <w:tc>
          <w:tcPr>
            <w:tcW w:w="4536" w:type="dxa"/>
            <w:tcBorders>
              <w:top w:val="nil"/>
              <w:left w:val="single" w:sz="4" w:space="0" w:color="000000"/>
              <w:bottom w:val="nil"/>
              <w:right w:val="single" w:sz="4" w:space="0" w:color="000000"/>
            </w:tcBorders>
          </w:tcPr>
          <w:p>
            <w:pPr>
              <w:pStyle w:val="TableParagraph"/>
              <w:spacing w:before="34"/>
              <w:rPr>
                <w:sz w:val="24"/>
              </w:rPr>
            </w:pPr>
            <w:r>
              <w:rPr>
                <w:sz w:val="24"/>
              </w:rPr>
              <w:t>t = épaisseur du montant</w:t>
            </w:r>
          </w:p>
        </w:tc>
        <w:tc>
          <w:tcPr>
            <w:tcW w:w="4538" w:type="dxa"/>
            <w:tcBorders>
              <w:top w:val="nil"/>
              <w:left w:val="single" w:sz="4" w:space="0" w:color="000000"/>
              <w:bottom w:val="nil"/>
              <w:right w:val="single" w:sz="4" w:space="0" w:color="000000"/>
            </w:tcBorders>
          </w:tcPr>
          <w:p>
            <w:pPr>
              <w:pStyle w:val="TableParagraph"/>
              <w:spacing w:line="267" w:lineRule="exact" w:before="219"/>
              <w:rPr>
                <w:sz w:val="24"/>
              </w:rPr>
            </w:pPr>
            <w:r>
              <w:rPr>
                <w:sz w:val="24"/>
              </w:rPr>
              <w:t>300 + 0,1x4500 + 2x25 = 800 mm</w:t>
            </w:r>
          </w:p>
        </w:tc>
      </w:tr>
      <w:tr>
        <w:trPr>
          <w:trHeight w:val="275" w:hRule="atLeast"/>
        </w:trPr>
        <w:tc>
          <w:tcPr>
            <w:tcW w:w="847" w:type="dxa"/>
            <w:tcBorders>
              <w:top w:val="nil"/>
              <w:left w:val="single" w:sz="4" w:space="0" w:color="000000"/>
              <w:bottom w:val="nil"/>
              <w:right w:val="single" w:sz="4" w:space="0" w:color="000000"/>
            </w:tcBorders>
          </w:tcPr>
          <w:p>
            <w:pPr>
              <w:pStyle w:val="TableParagraph"/>
              <w:ind w:left="0"/>
              <w:rPr>
                <w:rFonts w:ascii="Times New Roman"/>
                <w:sz w:val="20"/>
              </w:rPr>
            </w:pPr>
          </w:p>
        </w:tc>
        <w:tc>
          <w:tcPr>
            <w:tcW w:w="4675" w:type="dxa"/>
            <w:tcBorders>
              <w:top w:val="nil"/>
              <w:left w:val="single" w:sz="4" w:space="0" w:color="000000"/>
              <w:bottom w:val="nil"/>
              <w:right w:val="single" w:sz="4" w:space="0" w:color="000000"/>
            </w:tcBorders>
          </w:tcPr>
          <w:p>
            <w:pPr>
              <w:pStyle w:val="TableParagraph"/>
              <w:ind w:left="0"/>
              <w:rPr>
                <w:rFonts w:ascii="Times New Roman"/>
                <w:sz w:val="20"/>
              </w:rPr>
            </w:pPr>
          </w:p>
        </w:tc>
        <w:tc>
          <w:tcPr>
            <w:tcW w:w="4536" w:type="dxa"/>
            <w:tcBorders>
              <w:top w:val="nil"/>
              <w:left w:val="single" w:sz="4" w:space="0" w:color="000000"/>
              <w:bottom w:val="nil"/>
              <w:right w:val="single" w:sz="4" w:space="0" w:color="000000"/>
            </w:tcBorders>
          </w:tcPr>
          <w:p>
            <w:pPr>
              <w:pStyle w:val="TableParagraph"/>
              <w:spacing w:line="256" w:lineRule="exact"/>
              <w:rPr>
                <w:sz w:val="24"/>
              </w:rPr>
            </w:pPr>
            <w:r>
              <w:rPr>
                <w:sz w:val="24"/>
              </w:rPr>
              <w:t>b2 = largeur traverse / largeur sur pied</w:t>
            </w:r>
          </w:p>
        </w:tc>
        <w:tc>
          <w:tcPr>
            <w:tcW w:w="4538" w:type="dxa"/>
            <w:tcBorders>
              <w:top w:val="nil"/>
              <w:left w:val="single" w:sz="4" w:space="0" w:color="000000"/>
              <w:bottom w:val="nil"/>
              <w:right w:val="single" w:sz="4" w:space="0" w:color="000000"/>
            </w:tcBorders>
          </w:tcPr>
          <w:p>
            <w:pPr>
              <w:pStyle w:val="TableParagraph"/>
              <w:ind w:left="0"/>
              <w:rPr>
                <w:rFonts w:ascii="Times New Roman"/>
                <w:sz w:val="20"/>
              </w:rPr>
            </w:pPr>
          </w:p>
        </w:tc>
      </w:tr>
      <w:tr>
        <w:trPr>
          <w:trHeight w:val="1070" w:hRule="atLeast"/>
        </w:trPr>
        <w:tc>
          <w:tcPr>
            <w:tcW w:w="847" w:type="dxa"/>
            <w:tcBorders>
              <w:top w:val="nil"/>
              <w:left w:val="single" w:sz="4" w:space="0" w:color="000000"/>
              <w:bottom w:val="single" w:sz="4" w:space="0" w:color="000000"/>
              <w:right w:val="single" w:sz="4" w:space="0" w:color="000000"/>
            </w:tcBorders>
          </w:tcPr>
          <w:p>
            <w:pPr>
              <w:pStyle w:val="TableParagraph"/>
              <w:ind w:left="0"/>
              <w:rPr>
                <w:rFonts w:ascii="Times New Roman"/>
                <w:sz w:val="22"/>
              </w:rPr>
            </w:pPr>
          </w:p>
        </w:tc>
        <w:tc>
          <w:tcPr>
            <w:tcW w:w="4675" w:type="dxa"/>
            <w:tcBorders>
              <w:top w:val="nil"/>
              <w:left w:val="single" w:sz="4" w:space="0" w:color="000000"/>
              <w:bottom w:val="single" w:sz="4" w:space="0" w:color="000000"/>
              <w:right w:val="single" w:sz="4" w:space="0" w:color="000000"/>
            </w:tcBorders>
          </w:tcPr>
          <w:p>
            <w:pPr>
              <w:pStyle w:val="TableParagraph"/>
              <w:ind w:left="0"/>
              <w:rPr>
                <w:rFonts w:ascii="Times New Roman"/>
                <w:sz w:val="22"/>
              </w:rPr>
            </w:pPr>
          </w:p>
        </w:tc>
        <w:tc>
          <w:tcPr>
            <w:tcW w:w="4536" w:type="dxa"/>
            <w:tcBorders>
              <w:top w:val="nil"/>
              <w:left w:val="single" w:sz="4" w:space="0" w:color="000000"/>
              <w:bottom w:val="single" w:sz="4" w:space="0" w:color="000000"/>
              <w:right w:val="single" w:sz="4" w:space="0" w:color="000000"/>
            </w:tcBorders>
          </w:tcPr>
          <w:p>
            <w:pPr>
              <w:pStyle w:val="TableParagraph"/>
              <w:spacing w:line="460" w:lineRule="atLeast" w:before="81"/>
              <w:ind w:right="1594"/>
              <w:rPr>
                <w:sz w:val="24"/>
              </w:rPr>
            </w:pPr>
            <w:r>
              <w:rPr>
                <w:sz w:val="24"/>
              </w:rPr>
              <w:t>Formule largeur minimale : b2 = b1 + 0,1 x l + 2x t</w:t>
            </w:r>
          </w:p>
        </w:tc>
        <w:tc>
          <w:tcPr>
            <w:tcW w:w="4538" w:type="dxa"/>
            <w:tcBorders>
              <w:top w:val="nil"/>
              <w:left w:val="single" w:sz="4" w:space="0" w:color="000000"/>
              <w:bottom w:val="single" w:sz="4" w:space="0" w:color="000000"/>
              <w:right w:val="single" w:sz="4" w:space="0" w:color="000000"/>
            </w:tcBorders>
          </w:tcPr>
          <w:p>
            <w:pPr>
              <w:pStyle w:val="TableParagraph"/>
              <w:ind w:right="42"/>
              <w:jc w:val="both"/>
              <w:rPr>
                <w:sz w:val="24"/>
              </w:rPr>
            </w:pPr>
            <w:r>
              <w:rPr>
                <w:sz w:val="24"/>
              </w:rPr>
              <w:t>La largeur peut être limitée à 1200 mm, même si le calcul donne une valeur plus élevée.</w:t>
            </w:r>
          </w:p>
        </w:tc>
      </w:tr>
    </w:tbl>
    <w:p>
      <w:pPr>
        <w:spacing w:after="0"/>
        <w:jc w:val="both"/>
        <w:rPr>
          <w:sz w:val="24"/>
        </w:rPr>
        <w:sectPr>
          <w:pgSz w:w="16840" w:h="11910" w:orient="landscape"/>
          <w:pgMar w:header="720" w:footer="490" w:top="1580" w:bottom="680" w:left="740" w:right="1040"/>
        </w:sectPr>
      </w:pPr>
    </w:p>
    <w:p>
      <w:pPr>
        <w:pStyle w:val="BodyText"/>
        <w:rPr>
          <w:sz w:val="20"/>
        </w:rPr>
      </w:pPr>
    </w:p>
    <w:p>
      <w:pPr>
        <w:pStyle w:val="BodyText"/>
        <w:spacing w:before="4"/>
        <w:rPr>
          <w:sz w:val="16"/>
        </w:rPr>
      </w:pPr>
    </w:p>
    <w:p>
      <w:pPr>
        <w:pStyle w:val="Heading1"/>
        <w:spacing w:before="92"/>
        <w:ind w:left="111"/>
      </w:pPr>
      <w:r>
        <w:rPr/>
        <w:t>En principe il convient de respecter l’ordre suivant :</w:t>
      </w:r>
    </w:p>
    <w:p>
      <w:pPr>
        <w:pStyle w:val="ListParagraph"/>
        <w:numPr>
          <w:ilvl w:val="0"/>
          <w:numId w:val="4"/>
        </w:numPr>
        <w:tabs>
          <w:tab w:pos="540" w:val="left" w:leader="none"/>
        </w:tabs>
        <w:spacing w:line="240" w:lineRule="auto" w:before="184" w:after="0"/>
        <w:ind w:left="539" w:right="0" w:hanging="361"/>
        <w:jc w:val="left"/>
        <w:rPr>
          <w:b/>
          <w:sz w:val="28"/>
        </w:rPr>
      </w:pPr>
      <w:r>
        <w:rPr>
          <w:b/>
          <w:sz w:val="28"/>
        </w:rPr>
        <w:t>Les échelles sont utilisées et entretenues conformément aux indications du</w:t>
      </w:r>
      <w:r>
        <w:rPr>
          <w:b/>
          <w:spacing w:val="-3"/>
          <w:sz w:val="28"/>
        </w:rPr>
        <w:t> </w:t>
      </w:r>
      <w:r>
        <w:rPr>
          <w:b/>
          <w:sz w:val="28"/>
        </w:rPr>
        <w:t>fabricant.</w:t>
      </w:r>
    </w:p>
    <w:p>
      <w:pPr>
        <w:pStyle w:val="ListParagraph"/>
        <w:numPr>
          <w:ilvl w:val="0"/>
          <w:numId w:val="4"/>
        </w:numPr>
        <w:tabs>
          <w:tab w:pos="540" w:val="left" w:leader="none"/>
        </w:tabs>
        <w:spacing w:line="259" w:lineRule="auto" w:before="26" w:after="0"/>
        <w:ind w:left="539" w:right="433" w:hanging="360"/>
        <w:jc w:val="left"/>
        <w:rPr>
          <w:b/>
          <w:sz w:val="28"/>
        </w:rPr>
      </w:pPr>
      <w:r>
        <w:rPr>
          <w:b/>
          <w:sz w:val="28"/>
        </w:rPr>
        <w:t>Examen visuel et contrôle du fonctionnement avant chaque utilisation. Les échelles défectueuses ne peu- vent être</w:t>
      </w:r>
      <w:r>
        <w:rPr>
          <w:b/>
          <w:spacing w:val="-1"/>
          <w:sz w:val="28"/>
        </w:rPr>
        <w:t> </w:t>
      </w:r>
      <w:r>
        <w:rPr>
          <w:b/>
          <w:sz w:val="28"/>
        </w:rPr>
        <w:t>utilisées.</w:t>
      </w:r>
    </w:p>
    <w:p>
      <w:pPr>
        <w:pStyle w:val="ListParagraph"/>
        <w:numPr>
          <w:ilvl w:val="0"/>
          <w:numId w:val="4"/>
        </w:numPr>
        <w:tabs>
          <w:tab w:pos="540" w:val="left" w:leader="none"/>
        </w:tabs>
        <w:spacing w:line="240" w:lineRule="auto" w:before="1" w:after="0"/>
        <w:ind w:left="539" w:right="0" w:hanging="361"/>
        <w:jc w:val="left"/>
        <w:rPr>
          <w:b/>
          <w:sz w:val="28"/>
        </w:rPr>
      </w:pPr>
      <w:r>
        <w:rPr>
          <w:b/>
          <w:sz w:val="28"/>
        </w:rPr>
        <w:t>Contrôle périodique par une personne compétente, le contrôle doit être</w:t>
      </w:r>
      <w:r>
        <w:rPr>
          <w:b/>
          <w:spacing w:val="-10"/>
          <w:sz w:val="28"/>
        </w:rPr>
        <w:t> </w:t>
      </w:r>
      <w:r>
        <w:rPr>
          <w:b/>
          <w:sz w:val="28"/>
        </w:rPr>
        <w:t>documenté.</w:t>
      </w:r>
    </w:p>
    <w:p>
      <w:pPr>
        <w:pStyle w:val="BodyText"/>
        <w:rPr>
          <w:b/>
          <w:sz w:val="30"/>
        </w:rPr>
      </w:pPr>
    </w:p>
    <w:p>
      <w:pPr>
        <w:pStyle w:val="BodyText"/>
        <w:spacing w:before="3"/>
        <w:rPr>
          <w:b/>
          <w:sz w:val="30"/>
        </w:rPr>
      </w:pPr>
    </w:p>
    <w:p>
      <w:pPr>
        <w:spacing w:before="0"/>
        <w:ind w:left="179" w:right="0" w:firstLine="0"/>
        <w:jc w:val="left"/>
        <w:rPr>
          <w:b/>
          <w:sz w:val="28"/>
        </w:rPr>
      </w:pPr>
      <w:r>
        <w:rPr>
          <w:b/>
          <w:sz w:val="28"/>
        </w:rPr>
        <w:t>Autres informations : SUVA Echelles portables. Conseils pour votre sécurité, n° de commande 44026.</w:t>
      </w:r>
    </w:p>
    <w:p>
      <w:pPr>
        <w:pStyle w:val="BodyText"/>
        <w:rPr>
          <w:b/>
          <w:sz w:val="30"/>
        </w:rPr>
      </w:pPr>
    </w:p>
    <w:p>
      <w:pPr>
        <w:pStyle w:val="BodyText"/>
        <w:spacing w:before="6"/>
        <w:rPr>
          <w:b/>
          <w:sz w:val="29"/>
        </w:rPr>
      </w:pPr>
    </w:p>
    <w:p>
      <w:pPr>
        <w:spacing w:before="0"/>
        <w:ind w:left="111" w:right="0" w:firstLine="0"/>
        <w:jc w:val="left"/>
        <w:rPr>
          <w:b/>
          <w:sz w:val="28"/>
        </w:rPr>
      </w:pPr>
      <w:r>
        <w:rPr>
          <w:b/>
          <w:sz w:val="28"/>
        </w:rPr>
        <w:t>Ordonnance sur les travaux de construction (OTConst, état 1</w:t>
      </w:r>
      <w:r>
        <w:rPr>
          <w:b/>
          <w:position w:val="10"/>
          <w:sz w:val="18"/>
        </w:rPr>
        <w:t>er </w:t>
      </w:r>
      <w:r>
        <w:rPr>
          <w:b/>
          <w:sz w:val="28"/>
        </w:rPr>
        <w:t>nov. 2011) concernant les échelles :</w:t>
      </w:r>
    </w:p>
    <w:p>
      <w:pPr>
        <w:pStyle w:val="BodyText"/>
        <w:rPr>
          <w:b/>
          <w:sz w:val="20"/>
        </w:rPr>
      </w:pPr>
    </w:p>
    <w:p>
      <w:pPr>
        <w:pStyle w:val="BodyText"/>
        <w:spacing w:before="6"/>
        <w:rPr>
          <w:b/>
          <w:sz w:val="11"/>
        </w:rPr>
      </w:pPr>
      <w:r>
        <w:rPr/>
        <w:pict>
          <v:group style="position:absolute;margin-left:579.119995pt;margin-top:8.607266pt;width:131.3pt;height:178.6pt;mso-position-horizontal-relative:page;mso-position-vertical-relative:paragraph;z-index:-251656192;mso-wrap-distance-left:0;mso-wrap-distance-right:0" coordorigin="11582,172" coordsize="2626,3572">
            <v:shape style="position:absolute;left:11582;top:172;width:2626;height:3572" type="#_x0000_t75" stroked="false">
              <v:imagedata r:id="rId19" o:title=""/>
            </v:shape>
            <v:shape style="position:absolute;left:11616;top:227;width:2460;height:3389" type="#_x0000_t75" stroked="false">
              <v:imagedata r:id="rId20" o:title=""/>
            </v:shape>
            <v:shape style="position:absolute;left:11601;top:212;width:2489;height:3418" coordorigin="11602,213" coordsize="2489,3418" path="m14088,3631l11606,3631,11602,3628,11602,218,11606,213,14088,213,14090,218,14090,220,11616,220,11609,227,11616,227,11616,3616,11609,3616,11616,3623,14090,3623,14090,3628,14088,3631xm11616,227l11609,227,11616,220,11616,227xm14076,227l11616,227,11616,220,14076,220,14076,227xm14076,3623l14076,220,14083,227,14090,227,14090,3616,14083,3616,14076,3623xm14090,227l14083,227,14076,220,14090,220,14090,227xm11616,3623l11609,3616,11616,3616,11616,3623xm14076,3623l11616,3623,11616,3616,14076,3616,14076,3623xm14090,3623l14076,3623,14083,3616,14090,3616,14090,3623xe" filled="true" fillcolor="#000000" stroked="false">
              <v:path arrowok="t"/>
              <v:fill type="solid"/>
            </v:shape>
            <w10:wrap type="topAndBottom"/>
          </v:group>
        </w:pict>
      </w:r>
    </w:p>
    <w:sectPr>
      <w:pgSz w:w="16840" w:h="11910" w:orient="landscape"/>
      <w:pgMar w:header="720" w:footer="490" w:top="1580" w:bottom="680" w:left="7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41.599998pt;margin-top:555.812927pt;width:182.65pt;height:12.1pt;mso-position-horizontal-relative:page;mso-position-vertical-relative:page;z-index:-252097536" type="#_x0000_t202" filled="false" stroked="false">
          <v:textbox inset="0,0,0,0">
            <w:txbxContent>
              <w:p>
                <w:pPr>
                  <w:spacing w:before="14"/>
                  <w:ind w:left="20" w:right="0" w:firstLine="0"/>
                  <w:jc w:val="left"/>
                  <w:rPr>
                    <w:sz w:val="18"/>
                  </w:rPr>
                </w:pPr>
                <w:r>
                  <w:rPr>
                    <w:sz w:val="18"/>
                  </w:rPr>
                  <w:t>Manuel de la solution de branche ARODEMS</w:t>
                </w:r>
              </w:p>
            </w:txbxContent>
          </v:textbox>
          <w10:wrap type="none"/>
        </v:shape>
      </w:pict>
    </w:r>
    <w:r>
      <w:rPr/>
      <w:pict>
        <v:shape style="position:absolute;margin-left:395.957245pt;margin-top:555.812927pt;width:36.6pt;height:12.1pt;mso-position-horizontal-relative:page;mso-position-vertical-relative:page;z-index:-252096512" type="#_x0000_t202" filled="false" stroked="false">
          <v:textbox inset="0,0,0,0">
            <w:txbxContent>
              <w:p>
                <w:pPr>
                  <w:spacing w:before="14"/>
                  <w:ind w:left="20" w:right="0" w:firstLine="0"/>
                  <w:jc w:val="left"/>
                  <w:rPr>
                    <w:sz w:val="18"/>
                  </w:rPr>
                </w:pPr>
                <w:r>
                  <w:rPr>
                    <w:sz w:val="18"/>
                  </w:rPr>
                  <w:t>page </w:t>
                </w:r>
                <w:r>
                  <w:rPr/>
                  <w:fldChar w:fldCharType="begin"/>
                </w:r>
                <w:r>
                  <w:rPr>
                    <w:sz w:val="18"/>
                  </w:rPr>
                  <w:instrText> PAGE </w:instrText>
                </w:r>
                <w:r>
                  <w:rPr/>
                  <w:fldChar w:fldCharType="separate"/>
                </w:r>
                <w:r>
                  <w:rPr/>
                  <w:t>72</w:t>
                </w:r>
                <w:r>
                  <w:rPr/>
                  <w:fldChar w:fldCharType="end"/>
                </w:r>
              </w:p>
            </w:txbxContent>
          </v:textbox>
          <w10:wrap type="none"/>
        </v:shape>
      </w:pict>
    </w:r>
    <w:r>
      <w:rPr/>
      <w:pict>
        <v:shape style="position:absolute;margin-left:693.43634pt;margin-top:555.812927pt;width:78.650pt;height:12.1pt;mso-position-horizontal-relative:page;mso-position-vertical-relative:page;z-index:-252095488" type="#_x0000_t202" filled="false" stroked="false">
          <v:textbox inset="0,0,0,0">
            <w:txbxContent>
              <w:p>
                <w:pPr>
                  <w:spacing w:before="14"/>
                  <w:ind w:left="20" w:right="0" w:firstLine="0"/>
                  <w:jc w:val="left"/>
                  <w:rPr>
                    <w:sz w:val="18"/>
                  </w:rPr>
                </w:pPr>
                <w:r>
                  <w:rPr>
                    <w:sz w:val="18"/>
                  </w:rPr>
                  <w:t>version 01.11.2019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16896">
          <wp:simplePos x="0" y="0"/>
          <wp:positionH relativeFrom="page">
            <wp:posOffset>541019</wp:posOffset>
          </wp:positionH>
          <wp:positionV relativeFrom="page">
            <wp:posOffset>457200</wp:posOffset>
          </wp:positionV>
          <wp:extent cx="1124712" cy="5471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24712" cy="547115"/>
                  </a:xfrm>
                  <a:prstGeom prst="rect">
                    <a:avLst/>
                  </a:prstGeom>
                </pic:spPr>
              </pic:pic>
            </a:graphicData>
          </a:graphic>
        </wp:anchor>
      </w:drawing>
    </w:r>
    <w:r>
      <w:rPr/>
      <w:drawing>
        <wp:anchor distT="0" distB="0" distL="0" distR="0" allowOverlap="1" layoutInCell="1" locked="0" behindDoc="1" simplePos="0" relativeHeight="251217920">
          <wp:simplePos x="0" y="0"/>
          <wp:positionH relativeFrom="page">
            <wp:posOffset>8238743</wp:posOffset>
          </wp:positionH>
          <wp:positionV relativeFrom="page">
            <wp:posOffset>569976</wp:posOffset>
          </wp:positionV>
          <wp:extent cx="1536191" cy="29260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36191" cy="2926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39" w:hanging="360"/>
      </w:pPr>
      <w:rPr>
        <w:rFonts w:hint="default" w:ascii="Wingdings" w:hAnsi="Wingdings" w:eastAsia="Wingdings" w:cs="Wingdings"/>
        <w:w w:val="100"/>
        <w:sz w:val="28"/>
        <w:szCs w:val="28"/>
      </w:rPr>
    </w:lvl>
    <w:lvl w:ilvl="1">
      <w:start w:val="0"/>
      <w:numFmt w:val="bullet"/>
      <w:lvlText w:val="•"/>
      <w:lvlJc w:val="left"/>
      <w:pPr>
        <w:ind w:left="1991" w:hanging="360"/>
      </w:pPr>
      <w:rPr>
        <w:rFonts w:hint="default"/>
      </w:rPr>
    </w:lvl>
    <w:lvl w:ilvl="2">
      <w:start w:val="0"/>
      <w:numFmt w:val="bullet"/>
      <w:lvlText w:val="•"/>
      <w:lvlJc w:val="left"/>
      <w:pPr>
        <w:ind w:left="3443" w:hanging="360"/>
      </w:pPr>
      <w:rPr>
        <w:rFonts w:hint="default"/>
      </w:rPr>
    </w:lvl>
    <w:lvl w:ilvl="3">
      <w:start w:val="0"/>
      <w:numFmt w:val="bullet"/>
      <w:lvlText w:val="•"/>
      <w:lvlJc w:val="left"/>
      <w:pPr>
        <w:ind w:left="4895" w:hanging="360"/>
      </w:pPr>
      <w:rPr>
        <w:rFonts w:hint="default"/>
      </w:rPr>
    </w:lvl>
    <w:lvl w:ilvl="4">
      <w:start w:val="0"/>
      <w:numFmt w:val="bullet"/>
      <w:lvlText w:val="•"/>
      <w:lvlJc w:val="left"/>
      <w:pPr>
        <w:ind w:left="6347" w:hanging="360"/>
      </w:pPr>
      <w:rPr>
        <w:rFonts w:hint="default"/>
      </w:rPr>
    </w:lvl>
    <w:lvl w:ilvl="5">
      <w:start w:val="0"/>
      <w:numFmt w:val="bullet"/>
      <w:lvlText w:val="•"/>
      <w:lvlJc w:val="left"/>
      <w:pPr>
        <w:ind w:left="7799" w:hanging="360"/>
      </w:pPr>
      <w:rPr>
        <w:rFonts w:hint="default"/>
      </w:rPr>
    </w:lvl>
    <w:lvl w:ilvl="6">
      <w:start w:val="0"/>
      <w:numFmt w:val="bullet"/>
      <w:lvlText w:val="•"/>
      <w:lvlJc w:val="left"/>
      <w:pPr>
        <w:ind w:left="9251" w:hanging="360"/>
      </w:pPr>
      <w:rPr>
        <w:rFonts w:hint="default"/>
      </w:rPr>
    </w:lvl>
    <w:lvl w:ilvl="7">
      <w:start w:val="0"/>
      <w:numFmt w:val="bullet"/>
      <w:lvlText w:val="•"/>
      <w:lvlJc w:val="left"/>
      <w:pPr>
        <w:ind w:left="10702" w:hanging="360"/>
      </w:pPr>
      <w:rPr>
        <w:rFonts w:hint="default"/>
      </w:rPr>
    </w:lvl>
    <w:lvl w:ilvl="8">
      <w:start w:val="0"/>
      <w:numFmt w:val="bullet"/>
      <w:lvlText w:val="•"/>
      <w:lvlJc w:val="left"/>
      <w:pPr>
        <w:ind w:left="12154" w:hanging="360"/>
      </w:pPr>
      <w:rPr>
        <w:rFonts w:hint="default"/>
      </w:rPr>
    </w:lvl>
  </w:abstractNum>
  <w:abstractNum w:abstractNumId="2">
    <w:multiLevelType w:val="hybridMultilevel"/>
    <w:lvl w:ilvl="0">
      <w:start w:val="0"/>
      <w:numFmt w:val="bullet"/>
      <w:lvlText w:val="-"/>
      <w:lvlJc w:val="left"/>
      <w:pPr>
        <w:ind w:left="427" w:hanging="286"/>
      </w:pPr>
      <w:rPr>
        <w:rFonts w:hint="default" w:ascii="Calibri" w:hAnsi="Calibri" w:eastAsia="Calibri" w:cs="Calibri"/>
        <w:spacing w:val="-3"/>
        <w:w w:val="100"/>
        <w:sz w:val="24"/>
        <w:szCs w:val="24"/>
      </w:rPr>
    </w:lvl>
    <w:lvl w:ilvl="1">
      <w:start w:val="0"/>
      <w:numFmt w:val="bullet"/>
      <w:lvlText w:val="•"/>
      <w:lvlJc w:val="left"/>
      <w:pPr>
        <w:ind w:left="830" w:hanging="286"/>
      </w:pPr>
      <w:rPr>
        <w:rFonts w:hint="default"/>
      </w:rPr>
    </w:lvl>
    <w:lvl w:ilvl="2">
      <w:start w:val="0"/>
      <w:numFmt w:val="bullet"/>
      <w:lvlText w:val="•"/>
      <w:lvlJc w:val="left"/>
      <w:pPr>
        <w:ind w:left="1241" w:hanging="286"/>
      </w:pPr>
      <w:rPr>
        <w:rFonts w:hint="default"/>
      </w:rPr>
    </w:lvl>
    <w:lvl w:ilvl="3">
      <w:start w:val="0"/>
      <w:numFmt w:val="bullet"/>
      <w:lvlText w:val="•"/>
      <w:lvlJc w:val="left"/>
      <w:pPr>
        <w:ind w:left="1651" w:hanging="286"/>
      </w:pPr>
      <w:rPr>
        <w:rFonts w:hint="default"/>
      </w:rPr>
    </w:lvl>
    <w:lvl w:ilvl="4">
      <w:start w:val="0"/>
      <w:numFmt w:val="bullet"/>
      <w:lvlText w:val="•"/>
      <w:lvlJc w:val="left"/>
      <w:pPr>
        <w:ind w:left="2062" w:hanging="286"/>
      </w:pPr>
      <w:rPr>
        <w:rFonts w:hint="default"/>
      </w:rPr>
    </w:lvl>
    <w:lvl w:ilvl="5">
      <w:start w:val="0"/>
      <w:numFmt w:val="bullet"/>
      <w:lvlText w:val="•"/>
      <w:lvlJc w:val="left"/>
      <w:pPr>
        <w:ind w:left="2473" w:hanging="286"/>
      </w:pPr>
      <w:rPr>
        <w:rFonts w:hint="default"/>
      </w:rPr>
    </w:lvl>
    <w:lvl w:ilvl="6">
      <w:start w:val="0"/>
      <w:numFmt w:val="bullet"/>
      <w:lvlText w:val="•"/>
      <w:lvlJc w:val="left"/>
      <w:pPr>
        <w:ind w:left="2883" w:hanging="286"/>
      </w:pPr>
      <w:rPr>
        <w:rFonts w:hint="default"/>
      </w:rPr>
    </w:lvl>
    <w:lvl w:ilvl="7">
      <w:start w:val="0"/>
      <w:numFmt w:val="bullet"/>
      <w:lvlText w:val="•"/>
      <w:lvlJc w:val="left"/>
      <w:pPr>
        <w:ind w:left="3294" w:hanging="286"/>
      </w:pPr>
      <w:rPr>
        <w:rFonts w:hint="default"/>
      </w:rPr>
    </w:lvl>
    <w:lvl w:ilvl="8">
      <w:start w:val="0"/>
      <w:numFmt w:val="bullet"/>
      <w:lvlText w:val="•"/>
      <w:lvlJc w:val="left"/>
      <w:pPr>
        <w:ind w:left="3704" w:hanging="286"/>
      </w:pPr>
      <w:rPr>
        <w:rFonts w:hint="default"/>
      </w:rPr>
    </w:lvl>
  </w:abstractNum>
  <w:abstractNum w:abstractNumId="1">
    <w:multiLevelType w:val="hybridMultilevel"/>
    <w:lvl w:ilvl="0">
      <w:start w:val="0"/>
      <w:numFmt w:val="bullet"/>
      <w:lvlText w:val="-"/>
      <w:lvlJc w:val="left"/>
      <w:pPr>
        <w:ind w:left="204" w:hanging="147"/>
      </w:pPr>
      <w:rPr>
        <w:rFonts w:hint="default" w:ascii="Arial" w:hAnsi="Arial" w:eastAsia="Arial" w:cs="Arial"/>
        <w:spacing w:val="-3"/>
        <w:w w:val="100"/>
        <w:sz w:val="24"/>
        <w:szCs w:val="24"/>
      </w:rPr>
    </w:lvl>
    <w:lvl w:ilvl="1">
      <w:start w:val="0"/>
      <w:numFmt w:val="bullet"/>
      <w:lvlText w:val="•"/>
      <w:lvlJc w:val="left"/>
      <w:pPr>
        <w:ind w:left="632" w:hanging="147"/>
      </w:pPr>
      <w:rPr>
        <w:rFonts w:hint="default"/>
      </w:rPr>
    </w:lvl>
    <w:lvl w:ilvl="2">
      <w:start w:val="0"/>
      <w:numFmt w:val="bullet"/>
      <w:lvlText w:val="•"/>
      <w:lvlJc w:val="left"/>
      <w:pPr>
        <w:ind w:left="1065" w:hanging="147"/>
      </w:pPr>
      <w:rPr>
        <w:rFonts w:hint="default"/>
      </w:rPr>
    </w:lvl>
    <w:lvl w:ilvl="3">
      <w:start w:val="0"/>
      <w:numFmt w:val="bullet"/>
      <w:lvlText w:val="•"/>
      <w:lvlJc w:val="left"/>
      <w:pPr>
        <w:ind w:left="1497" w:hanging="147"/>
      </w:pPr>
      <w:rPr>
        <w:rFonts w:hint="default"/>
      </w:rPr>
    </w:lvl>
    <w:lvl w:ilvl="4">
      <w:start w:val="0"/>
      <w:numFmt w:val="bullet"/>
      <w:lvlText w:val="•"/>
      <w:lvlJc w:val="left"/>
      <w:pPr>
        <w:ind w:left="1930" w:hanging="147"/>
      </w:pPr>
      <w:rPr>
        <w:rFonts w:hint="default"/>
      </w:rPr>
    </w:lvl>
    <w:lvl w:ilvl="5">
      <w:start w:val="0"/>
      <w:numFmt w:val="bullet"/>
      <w:lvlText w:val="•"/>
      <w:lvlJc w:val="left"/>
      <w:pPr>
        <w:ind w:left="2363" w:hanging="147"/>
      </w:pPr>
      <w:rPr>
        <w:rFonts w:hint="default"/>
      </w:rPr>
    </w:lvl>
    <w:lvl w:ilvl="6">
      <w:start w:val="0"/>
      <w:numFmt w:val="bullet"/>
      <w:lvlText w:val="•"/>
      <w:lvlJc w:val="left"/>
      <w:pPr>
        <w:ind w:left="2795" w:hanging="147"/>
      </w:pPr>
      <w:rPr>
        <w:rFonts w:hint="default"/>
      </w:rPr>
    </w:lvl>
    <w:lvl w:ilvl="7">
      <w:start w:val="0"/>
      <w:numFmt w:val="bullet"/>
      <w:lvlText w:val="•"/>
      <w:lvlJc w:val="left"/>
      <w:pPr>
        <w:ind w:left="3228" w:hanging="147"/>
      </w:pPr>
      <w:rPr>
        <w:rFonts w:hint="default"/>
      </w:rPr>
    </w:lvl>
    <w:lvl w:ilvl="8">
      <w:start w:val="0"/>
      <w:numFmt w:val="bullet"/>
      <w:lvlText w:val="•"/>
      <w:lvlJc w:val="left"/>
      <w:pPr>
        <w:ind w:left="3660" w:hanging="147"/>
      </w:pPr>
      <w:rPr>
        <w:rFonts w:hint="default"/>
      </w:rPr>
    </w:lvl>
  </w:abstractNum>
  <w:abstractNum w:abstractNumId="0">
    <w:multiLevelType w:val="hybridMultilevel"/>
    <w:lvl w:ilvl="0">
      <w:start w:val="0"/>
      <w:numFmt w:val="bullet"/>
      <w:lvlText w:val="-"/>
      <w:lvlJc w:val="left"/>
      <w:pPr>
        <w:ind w:left="539" w:hanging="360"/>
      </w:pPr>
      <w:rPr>
        <w:rFonts w:hint="default" w:ascii="Calibri" w:hAnsi="Calibri" w:eastAsia="Calibri" w:cs="Calibri"/>
        <w:spacing w:val="-3"/>
        <w:w w:val="100"/>
        <w:sz w:val="24"/>
        <w:szCs w:val="24"/>
      </w:rPr>
    </w:lvl>
    <w:lvl w:ilvl="1">
      <w:start w:val="0"/>
      <w:numFmt w:val="bullet"/>
      <w:lvlText w:val="•"/>
      <w:lvlJc w:val="left"/>
      <w:pPr>
        <w:ind w:left="1991" w:hanging="360"/>
      </w:pPr>
      <w:rPr>
        <w:rFonts w:hint="default"/>
      </w:rPr>
    </w:lvl>
    <w:lvl w:ilvl="2">
      <w:start w:val="0"/>
      <w:numFmt w:val="bullet"/>
      <w:lvlText w:val="•"/>
      <w:lvlJc w:val="left"/>
      <w:pPr>
        <w:ind w:left="3443" w:hanging="360"/>
      </w:pPr>
      <w:rPr>
        <w:rFonts w:hint="default"/>
      </w:rPr>
    </w:lvl>
    <w:lvl w:ilvl="3">
      <w:start w:val="0"/>
      <w:numFmt w:val="bullet"/>
      <w:lvlText w:val="•"/>
      <w:lvlJc w:val="left"/>
      <w:pPr>
        <w:ind w:left="4895" w:hanging="360"/>
      </w:pPr>
      <w:rPr>
        <w:rFonts w:hint="default"/>
      </w:rPr>
    </w:lvl>
    <w:lvl w:ilvl="4">
      <w:start w:val="0"/>
      <w:numFmt w:val="bullet"/>
      <w:lvlText w:val="•"/>
      <w:lvlJc w:val="left"/>
      <w:pPr>
        <w:ind w:left="6347" w:hanging="360"/>
      </w:pPr>
      <w:rPr>
        <w:rFonts w:hint="default"/>
      </w:rPr>
    </w:lvl>
    <w:lvl w:ilvl="5">
      <w:start w:val="0"/>
      <w:numFmt w:val="bullet"/>
      <w:lvlText w:val="•"/>
      <w:lvlJc w:val="left"/>
      <w:pPr>
        <w:ind w:left="7799" w:hanging="360"/>
      </w:pPr>
      <w:rPr>
        <w:rFonts w:hint="default"/>
      </w:rPr>
    </w:lvl>
    <w:lvl w:ilvl="6">
      <w:start w:val="0"/>
      <w:numFmt w:val="bullet"/>
      <w:lvlText w:val="•"/>
      <w:lvlJc w:val="left"/>
      <w:pPr>
        <w:ind w:left="9251" w:hanging="360"/>
      </w:pPr>
      <w:rPr>
        <w:rFonts w:hint="default"/>
      </w:rPr>
    </w:lvl>
    <w:lvl w:ilvl="7">
      <w:start w:val="0"/>
      <w:numFmt w:val="bullet"/>
      <w:lvlText w:val="•"/>
      <w:lvlJc w:val="left"/>
      <w:pPr>
        <w:ind w:left="10702" w:hanging="360"/>
      </w:pPr>
      <w:rPr>
        <w:rFonts w:hint="default"/>
      </w:rPr>
    </w:lvl>
    <w:lvl w:ilvl="8">
      <w:start w:val="0"/>
      <w:numFmt w:val="bullet"/>
      <w:lvlText w:val="•"/>
      <w:lvlJc w:val="left"/>
      <w:pPr>
        <w:ind w:left="12154"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539"/>
      <w:outlineLvl w:val="1"/>
    </w:pPr>
    <w:rPr>
      <w:rFonts w:ascii="Arial" w:hAnsi="Arial" w:eastAsia="Arial" w:cs="Arial"/>
      <w:b/>
      <w:bCs/>
      <w:sz w:val="28"/>
      <w:szCs w:val="28"/>
    </w:rPr>
  </w:style>
  <w:style w:styleId="Heading2" w:type="paragraph">
    <w:name w:val="Heading 2"/>
    <w:basedOn w:val="Normal"/>
    <w:uiPriority w:val="1"/>
    <w:qFormat/>
    <w:pPr>
      <w:ind w:left="111"/>
      <w:outlineLvl w:val="2"/>
    </w:pPr>
    <w:rPr>
      <w:rFonts w:ascii="Arial" w:hAnsi="Arial" w:eastAsia="Arial" w:cs="Arial"/>
      <w:b/>
      <w:bCs/>
      <w:sz w:val="24"/>
      <w:szCs w:val="24"/>
    </w:rPr>
  </w:style>
  <w:style w:styleId="ListParagraph" w:type="paragraph">
    <w:name w:val="List Paragraph"/>
    <w:basedOn w:val="Normal"/>
    <w:uiPriority w:val="1"/>
    <w:qFormat/>
    <w:pPr>
      <w:ind w:left="539" w:hanging="361"/>
    </w:pPr>
    <w:rPr>
      <w:rFonts w:ascii="Arial" w:hAnsi="Arial" w:eastAsia="Arial" w:cs="Arial"/>
    </w:rPr>
  </w:style>
  <w:style w:styleId="TableParagraph" w:type="paragraph">
    <w:name w:val="Table Paragraph"/>
    <w:basedOn w:val="Normal"/>
    <w:uiPriority w:val="1"/>
    <w:qFormat/>
    <w:pPr>
      <w:ind w:left="5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png"/><Relationship Id="rId20" Type="http://schemas.openxmlformats.org/officeDocument/2006/relationships/image" Target="media/image16.jpeg"/><Relationship Id="rId2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2020-08-06T12:42:04Z</dcterms:created>
  <dcterms:modified xsi:type="dcterms:W3CDTF">2020-08-06T12:42:04Z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