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1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4664" w:right="0" w:hanging="3975"/>
        <w:jc w:val="left"/>
        <w:rPr>
          <w:b/>
          <w:sz w:val="32"/>
        </w:rPr>
      </w:pPr>
      <w:r>
        <w:rPr>
          <w:b/>
          <w:sz w:val="32"/>
        </w:rPr>
        <w:t>5.4.1 Instruction pour le déroulement de la détermination des dangers</w:t>
      </w:r>
    </w:p>
    <w:p>
      <w:pPr>
        <w:pStyle w:val="BodyText"/>
        <w:spacing w:before="1"/>
        <w:rPr>
          <w:b/>
          <w:sz w:val="48"/>
        </w:rPr>
      </w:pPr>
    </w:p>
    <w:p>
      <w:pPr>
        <w:pStyle w:val="Heading1"/>
      </w:pPr>
      <w:r>
        <w:rPr/>
        <w:t>Remarques préliminaires</w:t>
      </w:r>
    </w:p>
    <w:p>
      <w:pPr>
        <w:pStyle w:val="BodyText"/>
        <w:rPr>
          <w:b/>
        </w:rPr>
      </w:pPr>
    </w:p>
    <w:p>
      <w:pPr>
        <w:pStyle w:val="BodyText"/>
        <w:tabs>
          <w:tab w:pos="2235" w:val="left" w:leader="none"/>
        </w:tabs>
        <w:ind w:left="472"/>
      </w:pPr>
      <w:r>
        <w:rPr>
          <w:b/>
        </w:rPr>
        <w:t>Application</w:t>
      </w:r>
      <w:r>
        <w:rPr>
          <w:b/>
          <w:spacing w:val="-1"/>
        </w:rPr>
        <w:t> </w:t>
      </w:r>
      <w:r>
        <w:rPr>
          <w:b/>
        </w:rPr>
        <w:t>:</w:t>
        <w:tab/>
      </w:r>
      <w:r>
        <w:rPr/>
        <w:t>aux activités (de l’établissement, de l’atelier, de transports,</w:t>
      </w:r>
      <w:r>
        <w:rPr>
          <w:spacing w:val="-1"/>
        </w:rPr>
        <w:t> </w:t>
      </w:r>
      <w:r>
        <w:rPr/>
        <w:t>etc.)</w:t>
      </w:r>
    </w:p>
    <w:p>
      <w:pPr>
        <w:pStyle w:val="BodyText"/>
      </w:pPr>
    </w:p>
    <w:p>
      <w:pPr>
        <w:pStyle w:val="Heading1"/>
        <w:ind w:left="472"/>
      </w:pPr>
      <w:r>
        <w:rPr/>
        <w:t>Mise en</w:t>
      </w:r>
    </w:p>
    <w:p>
      <w:pPr>
        <w:pStyle w:val="BodyText"/>
        <w:tabs>
          <w:tab w:pos="2235" w:val="left" w:leader="none"/>
        </w:tabs>
        <w:ind w:left="2235" w:right="115" w:hanging="1764"/>
      </w:pPr>
      <w:r>
        <w:rPr>
          <w:b/>
        </w:rPr>
        <w:t>œuvre</w:t>
      </w:r>
      <w:r>
        <w:rPr>
          <w:b/>
          <w:spacing w:val="-1"/>
        </w:rPr>
        <w:t> </w:t>
      </w:r>
      <w:r>
        <w:rPr>
          <w:b/>
        </w:rPr>
        <w:t>:</w:t>
        <w:tab/>
      </w:r>
      <w:r>
        <w:rPr/>
        <w:t>lors de toutes les étapes, autant dans le cadre de la phase de préparation que</w:t>
      </w:r>
      <w:r>
        <w:rPr>
          <w:spacing w:val="1"/>
        </w:rPr>
        <w:t> </w:t>
      </w:r>
      <w:r>
        <w:rPr/>
        <w:t>d’exécution.</w:t>
      </w:r>
    </w:p>
    <w:p>
      <w:pPr>
        <w:pStyle w:val="BodyText"/>
      </w:pPr>
    </w:p>
    <w:p>
      <w:pPr>
        <w:pStyle w:val="BodyText"/>
        <w:tabs>
          <w:tab w:pos="2235" w:val="left" w:leader="none"/>
        </w:tabs>
        <w:ind w:left="2235" w:right="287" w:hanging="1764"/>
        <w:jc w:val="both"/>
      </w:pPr>
      <w:r>
        <w:rPr>
          <w:b/>
        </w:rPr>
        <w:t>Bases</w:t>
      </w:r>
      <w:r>
        <w:rPr>
          <w:b/>
          <w:spacing w:val="-2"/>
        </w:rPr>
        <w:t> </w:t>
      </w:r>
      <w:r>
        <w:rPr>
          <w:b/>
        </w:rPr>
        <w:t>:</w:t>
        <w:tab/>
      </w:r>
      <w:r>
        <w:rPr/>
        <w:t>documentation relative à l’exécution (instructions, indications, règles gé- nérales, etc.) ainsi que les résultats de la phase de préparation et les di- rectives de travail</w:t>
      </w:r>
      <w:r>
        <w:rPr>
          <w:spacing w:val="-1"/>
        </w:rPr>
        <w:t> </w:t>
      </w:r>
      <w:r>
        <w:rPr/>
        <w:t>spécifiques.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Déroulement de la détermination des dangers</w:t>
      </w:r>
    </w:p>
    <w:p>
      <w:pPr>
        <w:pStyle w:val="BodyText"/>
        <w:rPr>
          <w:b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84pt;margin-top:14.292663pt;width:460.6pt;height:210.75pt;mso-position-horizontal-relative:page;mso-position-vertical-relative:paragraph;z-index:-251658240;mso-wrap-distance-left:0;mso-wrap-distance-right:0" type="#_x0000_t202" filled="false" stroked="true" strokeweight=".480011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16" w:val="left" w:leader="none"/>
                    </w:tabs>
                    <w:spacing w:line="237" w:lineRule="auto" w:before="0" w:after="0"/>
                    <w:ind w:left="415" w:right="60" w:hanging="360"/>
                    <w:jc w:val="both"/>
                  </w:pPr>
                  <w:r>
                    <w:rPr/>
                    <w:t>Vérification des opérations et des procédures de travail du point de vue des dan- gers à l’aide des listes « Détermination des dangers/Evaluation des risques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»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16" w:val="left" w:leader="none"/>
                    </w:tabs>
                    <w:spacing w:line="240" w:lineRule="auto" w:before="1" w:after="0"/>
                    <w:ind w:left="415" w:right="61" w:hanging="360"/>
                    <w:jc w:val="both"/>
                  </w:pP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présence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dangers,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définir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mesures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sécurité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procéder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évalua- tion globale des risques restants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16" w:val="left" w:leader="none"/>
                    </w:tabs>
                    <w:spacing w:line="235" w:lineRule="auto" w:before="0" w:after="0"/>
                    <w:ind w:left="415" w:right="65" w:hanging="360"/>
                    <w:jc w:val="both"/>
                  </w:pPr>
                  <w:r>
                    <w:rPr/>
                    <w:t>Si les mesures définies peuvent réduire les risques restants à un niveau accep- table, elles seront alors ordonnées et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appliquées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16" w:val="left" w:leader="none"/>
                    </w:tabs>
                    <w:spacing w:line="240" w:lineRule="auto" w:before="0" w:after="0"/>
                    <w:ind w:left="415" w:right="58" w:hanging="360"/>
                    <w:jc w:val="both"/>
                  </w:pPr>
                  <w:r>
                    <w:rPr/>
                    <w:t>Si aucune mesure n’est connue ou si les risques restants sont jugés trop élevés, d’autres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mesures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peuvent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alors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être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prises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considération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(si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elles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connues) et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évaluées.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cas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contraire,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procédure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suivre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celle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«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Instructions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pour le recours à des médecins du travail et autres spécialistes de la sécurité au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travail</w:t>
                  </w:r>
                </w:p>
                <w:p>
                  <w:pPr>
                    <w:pStyle w:val="BodyText"/>
                    <w:spacing w:line="274" w:lineRule="exact"/>
                    <w:ind w:left="415"/>
                  </w:pPr>
                  <w:r>
                    <w:rPr/>
                    <w:t>».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tabs>
          <w:tab w:pos="5032" w:val="left" w:leader="none"/>
          <w:tab w:pos="8501" w:val="left" w:leader="none"/>
        </w:tabs>
        <w:spacing w:before="95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89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15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2020-08-06T12:44:20Z</dcterms:created>
  <dcterms:modified xsi:type="dcterms:W3CDTF">2020-08-06T12:44:20Z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