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234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spacing w:line="361" w:lineRule="exact" w:before="0"/>
        <w:ind w:left="4624" w:right="0" w:firstLine="0"/>
        <w:jc w:val="left"/>
        <w:rPr>
          <w:b/>
          <w:sz w:val="32"/>
        </w:rPr>
      </w:pPr>
      <w:r>
        <w:rPr>
          <w:b/>
          <w:sz w:val="32"/>
        </w:rPr>
        <w:t>5.4.4 Spécimen - Liste de risques «Soins»</w:t>
      </w: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720" w:bottom="280" w:left="740" w:right="1020"/>
        </w:sectPr>
      </w:pPr>
    </w:p>
    <w:p>
      <w:pPr>
        <w:pStyle w:val="BodyText"/>
        <w:spacing w:before="102"/>
        <w:ind w:left="135"/>
        <w:rPr>
          <w:rFonts w:ascii="Arial Narrow"/>
        </w:rPr>
      </w:pPr>
      <w:r>
        <w:rPr/>
        <w:pict>
          <v:group style="position:absolute;margin-left:42pt;margin-top:2.224443pt;width:723.4pt;height:395.4pt;mso-position-horizontal-relative:page;mso-position-vertical-relative:paragraph;z-index:-251899904" coordorigin="840,44" coordsize="14468,7908">
            <v:rect style="position:absolute;left:859;top:70;width:14448;height:183" filled="true" fillcolor="#bfbfbf" stroked="false">
              <v:fill type="solid"/>
            </v:rect>
            <v:line style="position:absolute" from="1144,71" to="1144,253" stroked="true" strokeweight=".840002pt" strokecolor="#000000">
              <v:stroke dashstyle="solid"/>
            </v:line>
            <v:line style="position:absolute" from="3112,71" to="3112,253" stroked="true" strokeweight=".839996pt" strokecolor="#000000">
              <v:stroke dashstyle="solid"/>
            </v:line>
            <v:line style="position:absolute" from="5395,71" to="5395,253" stroked="true" strokeweight=".719994pt" strokecolor="#000000">
              <v:stroke dashstyle="solid"/>
            </v:line>
            <v:line style="position:absolute" from="5758,71" to="5758,253" stroked="true" strokeweight=".720017pt" strokecolor="#000000">
              <v:stroke dashstyle="solid"/>
            </v:line>
            <v:line style="position:absolute" from="6859,71" to="6859,253" stroked="true" strokeweight=".720017pt" strokecolor="#000000">
              <v:stroke dashstyle="solid"/>
            </v:line>
            <v:line style="position:absolute" from="7489,71" to="7489,253" stroked="true" strokeweight=".839996pt" strokecolor="#000000">
              <v:stroke dashstyle="solid"/>
            </v:line>
            <v:line style="position:absolute" from="9457,71" to="9457,253" stroked="true" strokeweight=".839996pt" strokecolor="#000000">
              <v:stroke dashstyle="solid"/>
            </v:line>
            <v:line style="position:absolute" from="11434,71" to="11434,253" stroked="true" strokeweight=".719971pt" strokecolor="#000000">
              <v:stroke dashstyle="solid"/>
            </v:line>
            <v:line style="position:absolute" from="13410,71" to="13410,253" stroked="true" strokeweight=".839997pt" strokecolor="#000000">
              <v:stroke dashstyle="solid"/>
            </v:line>
            <v:line style="position:absolute" from="14040,71" to="14040,253" stroked="true" strokeweight=".71997pt" strokecolor="#000000">
              <v:stroke dashstyle="solid"/>
            </v:line>
            <v:line style="position:absolute" from="14670,71" to="14670,253" stroked="true" strokeweight=".839997pt" strokecolor="#000000">
              <v:stroke dashstyle="solid"/>
            </v:line>
            <v:line style="position:absolute" from="6229,71" to="6229,253" stroked="true" strokeweight=".839996pt" strokecolor="#000000">
              <v:stroke dashstyle="solid"/>
            </v:line>
            <v:line style="position:absolute" from="856,64" to="856,7928" stroked="true" strokeweight=".36pt" strokecolor="#000000">
              <v:stroke dashstyle="solid"/>
            </v:line>
            <v:line style="position:absolute" from="1144,1568" to="1144,7928" stroked="true" strokeweight=".840002pt" strokecolor="#000000">
              <v:stroke dashstyle="solid"/>
            </v:line>
            <v:line style="position:absolute" from="3112,1568" to="3112,3292" stroked="true" strokeweight=".839996pt" strokecolor="#000000">
              <v:stroke dashstyle="solid"/>
            </v:line>
            <v:line style="position:absolute" from="3112,4084" to="3112,7928" stroked="true" strokeweight=".839996pt" strokecolor="#000000">
              <v:stroke dashstyle="solid"/>
            </v:line>
            <v:line style="position:absolute" from="5080,71" to="5080,3292" stroked="true" strokeweight=".840019pt" strokecolor="#000000">
              <v:stroke dashstyle="solid"/>
            </v:line>
            <v:line style="position:absolute" from="5080,4084" to="5080,7928" stroked="true" strokeweight=".840019pt" strokecolor="#000000">
              <v:stroke dashstyle="solid"/>
            </v:line>
            <v:shape style="position:absolute;left:5395;top:1558;width:843;height:6370" coordorigin="5395,1559" coordsize="843,6370" path="m6238,2574l5765,2574,5765,2308,5765,2301,5765,1559,5395,1559,5395,2301,5395,2308,5395,2584,5758,2584,5758,5992,5395,5992,5395,7928,5765,7928,5765,5999,6238,5999,6238,2574e" filled="true" fillcolor="#bfbfbf" stroked="false">
              <v:path arrowok="t"/>
              <v:fill type="solid"/>
            </v:shape>
            <v:line style="position:absolute" from="5395,1568" to="5395,7928" stroked="true" strokeweight=".719994pt" strokecolor="#000000">
              <v:stroke dashstyle="solid"/>
            </v:line>
            <v:line style="position:absolute" from="5758,1568" to="5758,7928" stroked="true" strokeweight=".720017pt" strokecolor="#000000">
              <v:stroke dashstyle="solid"/>
            </v:line>
            <v:line style="position:absolute" from="6229,1568" to="6229,7928" stroked="true" strokeweight=".839996pt" strokecolor="#000000">
              <v:stroke dashstyle="solid"/>
            </v:line>
            <v:line style="position:absolute" from="6859,1568" to="6859,7928" stroked="true" strokeweight=".720017pt" strokecolor="#000000">
              <v:stroke dashstyle="solid"/>
            </v:line>
            <v:line style="position:absolute" from="7489,1568" to="7489,7928" stroked="true" strokeweight=".839996pt" strokecolor="#000000">
              <v:stroke dashstyle="solid"/>
            </v:line>
            <v:line style="position:absolute" from="9457,1568" to="9457,7928" stroked="true" strokeweight=".839996pt" strokecolor="#000000">
              <v:stroke dashstyle="solid"/>
            </v:line>
            <v:line style="position:absolute" from="11434,1568" to="11434,3371" stroked="true" strokeweight=".719971pt" strokecolor="#000000">
              <v:stroke dashstyle="solid"/>
            </v:line>
            <v:line style="position:absolute" from="11434,4165" to="11434,7928" stroked="true" strokeweight=".719971pt" strokecolor="#000000">
              <v:stroke dashstyle="solid"/>
            </v:line>
            <v:line style="position:absolute" from="13410,1568" to="13410,7928" stroked="true" strokeweight=".839997pt" strokecolor="#000000">
              <v:stroke dashstyle="solid"/>
            </v:line>
            <v:line style="position:absolute" from="14040,1568" to="14040,7928" stroked="true" strokeweight=".71997pt" strokecolor="#000000">
              <v:stroke dashstyle="solid"/>
            </v:line>
            <v:line style="position:absolute" from="14670,1568" to="14670,7928" stroked="true" strokeweight=".839997pt" strokecolor="#000000">
              <v:stroke dashstyle="solid"/>
            </v:line>
            <v:line style="position:absolute" from="15299,71" to="15299,7928" stroked="true" strokeweight=".839996pt" strokecolor="#000000">
              <v:stroke dashstyle="solid"/>
            </v:line>
            <v:line style="position:absolute" from="859,67" to="15307,67" stroked="true" strokeweight=".360008pt" strokecolor="#000000">
              <v:stroke dashstyle="solid"/>
            </v:line>
            <v:line style="position:absolute" from="859,245" to="15307,245" stroked="true" strokeweight=".839996pt" strokecolor="#000000">
              <v:stroke dashstyle="solid"/>
            </v:line>
            <v:line style="position:absolute" from="1144,419" to="1144,827" stroked="true" strokeweight=".840002pt" strokecolor="#000000">
              <v:stroke dashstyle="solid"/>
            </v:line>
            <v:line style="position:absolute" from="3112,419" to="3112,827" stroked="true" strokeweight=".839996pt" strokecolor="#000000">
              <v:stroke dashstyle="solid"/>
            </v:line>
            <v:line style="position:absolute" from="5395,419" to="5395,827" stroked="true" strokeweight=".719994pt" strokecolor="#000000">
              <v:stroke dashstyle="solid"/>
            </v:line>
            <v:line style="position:absolute" from="5758,419" to="5758,827" stroked="true" strokeweight=".720017pt" strokecolor="#000000">
              <v:stroke dashstyle="solid"/>
            </v:line>
            <v:line style="position:absolute" from="6859,419" to="6859,827" stroked="true" strokeweight=".720017pt" strokecolor="#000000">
              <v:stroke dashstyle="solid"/>
            </v:line>
            <v:line style="position:absolute" from="7489,419" to="7489,827" stroked="true" strokeweight=".839996pt" strokecolor="#000000">
              <v:stroke dashstyle="solid"/>
            </v:line>
            <v:line style="position:absolute" from="9457,419" to="9457,827" stroked="true" strokeweight=".839996pt" strokecolor="#000000">
              <v:stroke dashstyle="solid"/>
            </v:line>
            <v:line style="position:absolute" from="11434,419" to="11434,827" stroked="true" strokeweight=".719971pt" strokecolor="#000000">
              <v:stroke dashstyle="solid"/>
            </v:line>
            <v:line style="position:absolute" from="13410,419" to="13410,827" stroked="true" strokeweight=".839997pt" strokecolor="#000000">
              <v:stroke dashstyle="solid"/>
            </v:line>
            <v:line style="position:absolute" from="14040,419" to="14040,827" stroked="true" strokeweight=".71997pt" strokecolor="#000000">
              <v:stroke dashstyle="solid"/>
            </v:line>
            <v:line style="position:absolute" from="14670,419" to="14670,827" stroked="true" strokeweight=".839997pt" strokecolor="#000000">
              <v:stroke dashstyle="solid"/>
            </v:line>
            <v:line style="position:absolute" from="859,410" to="15307,410" stroked="true" strokeweight=".839996pt" strokecolor="#000000">
              <v:stroke dashstyle="solid"/>
            </v:line>
            <v:line style="position:absolute" from="859,820" to="15307,820" stroked="true" strokeweight=".719993pt" strokecolor="#000000">
              <v:stroke dashstyle="solid"/>
            </v:line>
            <v:line style="position:absolute" from="859,1560" to="15307,1560" stroked="true" strokeweight=".839997pt" strokecolor="#000000">
              <v:stroke dashstyle="solid"/>
            </v:line>
            <v:line style="position:absolute" from="1152,2575" to="15307,2575" stroked="true" strokeweight=".839997pt" strokecolor="#000000">
              <v:stroke dashstyle="solid"/>
            </v:line>
            <v:line style="position:absolute" from="13154,3772" to="15307,3772" stroked="true" strokeweight=".719993pt" strokecolor="#000000">
              <v:stroke dashstyle="solid"/>
            </v:line>
            <v:line style="position:absolute" from="5174,3772" to="9696,3772" stroked="true" strokeweight=".719993pt" strokecolor="#000000">
              <v:stroke dashstyle="solid"/>
            </v:line>
            <v:line style="position:absolute" from="1152,3772" to="1718,3772" stroked="true" strokeweight=".719993pt" strokecolor="#000000">
              <v:stroke dashstyle="solid"/>
            </v:line>
            <v:line style="position:absolute" from="1152,5992" to="15307,5992" stroked="true" strokeweight=".719971pt" strokecolor="#000000">
              <v:stroke dashstyle="solid"/>
            </v:line>
            <v:line style="position:absolute" from="1152,7920" to="15307,7920" stroked="true" strokeweight=".839996pt" strokecolor="#000000">
              <v:stroke dashstyle="solid"/>
            </v:line>
            <v:shape style="position:absolute;left:840;top:44;width:12344;height:7909" coordorigin="840,44" coordsize="12344,7909" path="m881,7485l840,7485,840,7648,881,7648,881,7485m881,7199l840,7199,840,7362,881,7362,881,7199m881,6913l840,6913,840,7077,881,7077,881,6913m881,6628l840,6628,840,6791,881,6791,881,6628m881,6342l840,6342,840,6505,881,6505,881,6342m881,6057l840,6057,840,6220,881,6220,881,6057m881,5771l840,5771,840,5934,881,5934,881,5771m881,5485l840,5485,840,5648,881,5648,881,5485m881,5200l840,5200,840,5363,881,5363,881,5200m881,4914l840,4914,840,5077,881,5077,881,4914m881,4628l840,4628,840,4792,881,4792,881,4628m881,4343l840,4343,840,4506,881,4506,881,4343m881,4057l840,4057,840,4221,881,4221,881,4057m881,3772l840,3772,840,3935,881,3935,881,3772m881,3486l840,3486,840,3649,881,3649,881,3486m881,3201l840,3201,840,3364,881,3364,881,3201m881,2915l840,2915,840,3078,881,3078,881,2915m881,2629l840,2629,840,2792,881,2792,881,2629m881,2344l840,2344,840,2507,881,2507,881,2344m881,2058l840,2058,840,2221,881,2221,881,2058m881,1772l840,1772,840,1936,881,1936,881,1772m881,1487l840,1487,840,1650,881,1650,881,1487m881,1201l840,1201,840,1364,881,1364,881,1201m881,916l840,916,840,1079,881,1079,881,916m881,630l840,630,840,793,881,793,881,630m881,344l840,344,840,508,881,508,881,344m881,66l869,78,869,44,840,44,840,222,881,222,881,85,881,66m996,7912l881,7912,881,7770,840,7770,840,7933,862,7933,862,7953,996,7953,996,7933,996,7912m1154,44l991,44,991,85,1154,85,1154,44m1282,7912l1118,7912,1118,7953,1282,7953,1282,7912m1440,44l1277,44,1277,85,1440,85,1440,44m1567,7912l1404,7912,1404,7953,1567,7953,1567,7912m1726,44l1562,44,1562,85,1726,85,1726,44m1747,3424l1687,3424,1687,3664,1747,3664,1747,3424m1814,4052l1747,4052,1747,3844,1687,3844,1687,4084,1718,4084,1718,4112,1814,4112,1814,4084,1814,4052m1853,7912l1690,7912,1690,7953,1853,7953,1853,7912m2006,3260l1766,3260,1766,3320,2006,3320,2006,3260m2011,44l1848,44,1848,85,2011,85,2011,44m2138,7912l1975,7912,1975,7953,2138,7953,2138,7912m2234,4052l1994,4052,1994,4112,2234,4112,2234,4052m2297,44l2134,44,2134,85,2297,85,2297,44m2424,7912l2261,7912,2261,7953,2424,7953,2424,7912m2426,3260l2186,3260,2186,3320,2426,3320,2426,3260m2582,44l2419,44,2419,85,2582,85,2582,44m2654,4052l2414,4052,2414,4112,2654,4112,2654,4052m2710,7912l2546,7912,2546,7953,2710,7953,2710,7912m2846,3260l2606,3260,2606,3320,2846,3320,2846,3260m2868,44l2705,44,2705,85,2868,85,2868,44m2995,7912l2832,7912,2832,7953,2995,7953,2995,7912m3074,4052l2834,4052,2834,4112,3074,4112,3074,4052m3154,44l2990,44,2990,85,3154,85,3154,44m3266,3260l3026,3260,3026,3320,3266,3320,3266,3260m3281,7912l3118,7912,3118,7953,3281,7953,3281,7912m3439,44l3276,44,3276,85,3439,85,3439,44m3494,4052l3254,4052,3254,4112,3494,4112,3494,4052m3566,7912l3403,7912,3403,7953,3566,7953,3566,7912m3686,3260l3446,3260,3446,3320,3686,3320,3686,3260m3725,44l3562,44,3562,85,3725,85,3725,44m3852,7912l3689,7912,3689,7953,3852,7953,3852,7912m3914,4052l3674,4052,3674,4112,3914,4112,3914,4052m4010,44l3847,44,3847,85,4010,85,4010,44m4106,3260l3866,3260,3866,3320,4106,3320,4106,3260m4138,7912l3974,7912,3974,7953,4138,7953,4138,7912m4296,44l4133,44,4133,85,4296,85,4296,44m4334,4052l4094,4052,4094,4112,4334,4112,4334,4052m4423,7912l4260,7912,4260,7953,4423,7953,4423,7912m4526,3260l4286,3260,4286,3320,4526,3320,4526,3260m4582,44l4418,44,4418,85,4582,85,4582,44m4709,7912l4546,7912,4546,7953,4709,7953,4709,7912m4754,4052l4514,4052,4514,4112,4754,4112,4754,4052m4867,44l4704,44,4704,85,4867,85,4867,44m4946,3260l4706,3260,4706,3320,4946,3320,4946,3260m4994,7912l4831,7912,4831,7953,4994,7953,4994,7912m5153,44l4990,44,4990,85,5153,85,5153,44m5174,4052l4934,4052,4934,4112,5174,4112,5174,4052m5203,3664l5143,3664,5143,3904,5203,3904,5203,3664m5203,3260l5126,3260,5126,3320,5143,3320,5143,3484,5203,3484,5203,3320,5203,3292,5203,3260m5280,7912l5117,7912,5117,7953,5280,7953,5280,7912m5438,44l5275,44,5275,85,5438,85,5438,44m5566,7912l5402,7912,5402,7953,5566,7953,5566,7912m5724,44l5561,44,5561,85,5724,85,5724,44m5851,7912l5688,7912,5688,7953,5851,7953,5851,7912m6010,44l5846,44,5846,85,6010,85,6010,44m6137,7912l5974,7912,5974,7953,6137,7953,6137,7912m6218,7710l6178,7710,6178,7873,6218,7873,6218,7710m6218,7425l6178,7425,6178,7588,6218,7588,6218,7425m6218,7139l6178,7139,6178,7302,6218,7302,6218,7139m6218,6853l6178,6853,6178,7017,6218,7017,6218,6853m6218,6568l6178,6568,6178,6731,6218,6731,6218,6568m6218,6282l6178,6282,6178,6445,6218,6445,6218,6282m6218,5997l6178,5997,6178,6160,6218,6160,6218,5997m6218,5711l6178,5711,6178,5874,6218,5874,6218,5711m6218,5425l6178,5425,6178,5588,6218,5588,6218,5425m6218,5140l6178,5140,6178,5303,6218,5303,6218,5140m6218,4854l6178,4854,6178,5017,6218,5017,6218,4854m6218,4568l6178,4568,6178,4732,6218,4732,6218,4568m6218,4283l6178,4283,6178,4446,6218,4446,6218,4283m6218,3997l6178,3997,6178,4161,6218,4161,6218,3997m6218,3712l6178,3712,6178,3875,6218,3875,6218,3712m6218,3426l6178,3426,6178,3589,6218,3589,6218,3426m6218,3141l6178,3141,6178,3304,6218,3304,6218,3141m6218,2855l6178,2855,6178,3018,6218,3018,6218,2855m6218,2569l6178,2569,6178,2732,6218,2732,6218,2569m6218,2284l6178,2284,6178,2447,6218,2447,6218,2284m6218,1998l6178,1998,6178,2161,6218,2161,6218,1998m6218,1712l6178,1712,6178,1876,6218,1876,6218,1712m6218,1427l6178,1427,6178,1590,6218,1590,6218,1427m6218,1141l6178,1141,6178,1304,6218,1304,6218,1141m6218,856l6178,856,6178,1019,6218,1019,6218,856m6218,570l6178,570,6178,733,6218,733,6218,570m6218,284l6178,284,6178,448,6218,448,6218,284m6218,44l6132,44,6132,85,6178,85,6178,162,6218,162,6218,85,6218,66,6218,44m9725,3505l9665,3505,9665,3745,9725,3745,9725,3505m9802,4134l9725,4134,9725,3925,9665,3925,9665,4165,9696,4165,9696,4194,9802,4194,9802,4165,9802,4134m9982,3340l9742,3340,9742,3400,9982,3400,9982,3340m10222,4134l9982,4134,9982,4194,10222,4194,10222,4134m10402,3340l10162,3340,10162,3400,10402,3400,10402,3340m10642,4134l10402,4134,10402,4194,10642,4194,10642,4134m10822,3340l10582,3340,10582,3400,10822,3400,10822,3340m11062,4134l10822,4134,10822,4194,11062,4194,11062,4134m11242,3340l11002,3340,11002,3400,11242,3400,11242,3340m11482,4134l11242,4134,11242,4194,11482,4194,11482,4134m11662,3340l11422,3340,11422,3400,11662,3400,11662,3340m11902,4134l11662,4134,11662,4194,11902,4194,11902,4134m12082,3340l11842,3340,11842,3400,12082,3400,12082,3340m12322,4134l12082,4134,12082,4194,12322,4194,12322,4134m12502,3340l12262,3340,12262,3400,12502,3400,12502,3340m12742,4134l12502,4134,12502,4194,12742,4194,12742,4134m12922,3340l12682,3340,12682,3400,12922,3400,12922,3340m13183,4158l13130,4158,13154,4134,12922,4134,12922,4194,13183,4194,13183,4165,13183,4158m13183,3738l13123,3738,13123,3978,13183,3978,13183,3738m13183,3340l13102,3340,13102,3400,13123,3400,13123,3558,13183,3558,13183,3400,13183,3371,13183,3340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 Narrow"/>
        </w:rPr>
        <w:t>Objet Risques potentiels</w:t>
      </w:r>
    </w:p>
    <w:p>
      <w:pPr>
        <w:pStyle w:val="Heading2"/>
        <w:spacing w:before="40"/>
      </w:pPr>
      <w:r>
        <w:rPr/>
        <w:t>Secteur de la santé en général</w:t>
      </w:r>
    </w:p>
    <w:p>
      <w:pPr>
        <w:pStyle w:val="BodyText"/>
        <w:spacing w:before="24"/>
        <w:ind w:left="426"/>
      </w:pPr>
      <w:r>
        <w:rPr/>
        <w:t>Divers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66"/>
      </w:pPr>
      <w:r>
        <w:rPr/>
        <w:t>Soins du résident:</w:t>
      </w:r>
    </w:p>
    <w:p>
      <w:pPr>
        <w:pStyle w:val="BodyText"/>
        <w:spacing w:before="102"/>
        <w:ind w:left="136"/>
        <w:rPr>
          <w:rFonts w:ascii="Arial Narrow"/>
        </w:rPr>
      </w:pPr>
      <w:r>
        <w:rPr/>
        <w:br w:type="column"/>
      </w:r>
      <w:r>
        <w:rPr>
          <w:rFonts w:ascii="Arial Narrow"/>
        </w:rPr>
        <w:t>Mesures potentielles</w:t>
      </w:r>
    </w:p>
    <w:p>
      <w:pPr>
        <w:pStyle w:val="BodyText"/>
        <w:spacing w:before="7"/>
        <w:rPr>
          <w:rFonts w:ascii="Arial Narrow"/>
          <w:sz w:val="17"/>
        </w:rPr>
      </w:pPr>
    </w:p>
    <w:p>
      <w:pPr>
        <w:pStyle w:val="BodyText"/>
        <w:ind w:left="135"/>
      </w:pPr>
      <w:r>
        <w:rPr/>
        <w:t>Diverses</w:t>
      </w:r>
    </w:p>
    <w:p>
      <w:pPr>
        <w:pStyle w:val="BodyText"/>
        <w:spacing w:before="102"/>
        <w:ind w:left="135"/>
        <w:rPr>
          <w:rFonts w:ascii="Arial Narrow"/>
        </w:rPr>
      </w:pPr>
      <w:r>
        <w:rPr/>
        <w:br w:type="column"/>
      </w:r>
      <w:r>
        <w:rPr>
          <w:rFonts w:ascii="Arial Narrow"/>
        </w:rPr>
        <w:t>P Faibles</w:t>
      </w:r>
    </w:p>
    <w:p>
      <w:pPr>
        <w:pStyle w:val="BodyText"/>
        <w:spacing w:before="102"/>
        <w:ind w:left="90"/>
        <w:rPr>
          <w:rFonts w:ascii="Arial Narrow"/>
        </w:rPr>
      </w:pPr>
      <w:r>
        <w:rPr/>
        <w:br w:type="column"/>
      </w:r>
      <w:r>
        <w:rPr>
          <w:rFonts w:ascii="Arial Narrow"/>
        </w:rPr>
        <w:t>Moyens</w:t>
      </w:r>
    </w:p>
    <w:p>
      <w:pPr>
        <w:pStyle w:val="BodyText"/>
        <w:spacing w:before="102"/>
        <w:ind w:left="135"/>
        <w:rPr>
          <w:rFonts w:ascii="Arial Narrow" w:hAnsi="Arial Narrow"/>
        </w:rPr>
      </w:pPr>
      <w:r>
        <w:rPr/>
        <w:br w:type="column"/>
      </w:r>
      <w:r>
        <w:rPr>
          <w:rFonts w:ascii="Arial Narrow" w:hAnsi="Arial Narrow"/>
        </w:rPr>
        <w:t>Elevés</w:t>
      </w:r>
    </w:p>
    <w:p>
      <w:pPr>
        <w:spacing w:before="102"/>
        <w:ind w:left="135" w:right="0" w:firstLine="0"/>
        <w:jc w:val="left"/>
        <w:rPr>
          <w:rFonts w:ascii="Arial Narrow"/>
          <w:sz w:val="10"/>
        </w:rPr>
      </w:pPr>
      <w:r>
        <w:rPr/>
        <w:br w:type="column"/>
      </w:r>
      <w:r>
        <w:rPr>
          <w:rFonts w:ascii="Arial Narrow"/>
          <w:sz w:val="10"/>
        </w:rPr>
        <w:t>Non</w:t>
      </w:r>
    </w:p>
    <w:p>
      <w:pPr>
        <w:pStyle w:val="BodyText"/>
        <w:spacing w:before="102"/>
        <w:ind w:left="136"/>
        <w:rPr>
          <w:rFonts w:ascii="Arial Narrow"/>
        </w:rPr>
      </w:pPr>
      <w:r>
        <w:rPr/>
        <w:br w:type="column"/>
      </w:r>
      <w:r>
        <w:rPr>
          <w:rFonts w:ascii="Arial Narrow"/>
        </w:rPr>
        <w:t>Instruments de travail / documents</w:t>
      </w:r>
    </w:p>
    <w:p>
      <w:pPr>
        <w:pStyle w:val="BodyText"/>
        <w:spacing w:before="7"/>
        <w:rPr>
          <w:rFonts w:ascii="Arial Narrow"/>
          <w:sz w:val="17"/>
        </w:rPr>
      </w:pPr>
    </w:p>
    <w:p>
      <w:pPr>
        <w:pStyle w:val="BodyText"/>
        <w:spacing w:line="278" w:lineRule="auto"/>
        <w:ind w:left="135" w:right="-6"/>
      </w:pPr>
      <w:r>
        <w:rPr/>
        <w:t>Brochure CFST "L'accident n'arrive pas par hasard - Secteur de la santé", référence 6290</w:t>
      </w:r>
    </w:p>
    <w:p>
      <w:pPr>
        <w:pStyle w:val="BodyText"/>
        <w:spacing w:before="102"/>
        <w:ind w:left="135"/>
        <w:rPr>
          <w:rFonts w:ascii="Arial Narrow" w:hAnsi="Arial Narrow"/>
        </w:rPr>
      </w:pPr>
      <w:r>
        <w:rPr/>
        <w:br w:type="column"/>
      </w:r>
      <w:r>
        <w:rPr>
          <w:rFonts w:ascii="Arial Narrow" w:hAnsi="Arial Narrow"/>
        </w:rPr>
        <w:t>Mesures adoptées</w:t>
      </w:r>
    </w:p>
    <w:p>
      <w:pPr>
        <w:pStyle w:val="BodyText"/>
        <w:spacing w:before="102"/>
        <w:ind w:left="135"/>
        <w:rPr>
          <w:rFonts w:ascii="Arial Narrow" w:hAnsi="Arial Narrow"/>
        </w:rPr>
      </w:pPr>
      <w:r>
        <w:rPr/>
        <w:br w:type="column"/>
      </w:r>
      <w:r>
        <w:rPr>
          <w:rFonts w:ascii="Arial Narrow" w:hAnsi="Arial Narrow"/>
        </w:rPr>
        <w:t>Mesure à prendre</w:t>
      </w:r>
    </w:p>
    <w:p>
      <w:pPr>
        <w:pStyle w:val="BodyText"/>
        <w:spacing w:before="102"/>
        <w:ind w:left="135"/>
        <w:rPr>
          <w:rFonts w:ascii="Arial Narrow"/>
        </w:rPr>
      </w:pPr>
      <w:r>
        <w:rPr/>
        <w:br w:type="column"/>
      </w:r>
      <w:r>
        <w:rPr>
          <w:rFonts w:ascii="Arial Narrow"/>
        </w:rPr>
        <w:t>Responsable</w:t>
      </w:r>
    </w:p>
    <w:p>
      <w:pPr>
        <w:pStyle w:val="BodyText"/>
        <w:spacing w:before="102"/>
        <w:ind w:left="102"/>
        <w:rPr>
          <w:rFonts w:ascii="Arial Narrow"/>
        </w:rPr>
      </w:pPr>
      <w:r>
        <w:rPr/>
        <w:br w:type="column"/>
      </w:r>
      <w:r>
        <w:rPr>
          <w:rFonts w:ascii="Arial Narrow"/>
        </w:rPr>
        <w:t>Date</w:t>
      </w:r>
    </w:p>
    <w:p>
      <w:pPr>
        <w:pStyle w:val="BodyText"/>
        <w:spacing w:before="102"/>
        <w:ind w:left="135"/>
        <w:rPr>
          <w:rFonts w:ascii="Arial Narrow" w:hAnsi="Arial Narrow"/>
        </w:rPr>
      </w:pPr>
      <w:r>
        <w:rPr/>
        <w:br w:type="column"/>
      </w:r>
      <w:r>
        <w:rPr>
          <w:rFonts w:ascii="Arial Narrow" w:hAnsi="Arial Narrow"/>
        </w:rPr>
        <w:t>Réglé</w:t>
      </w:r>
    </w:p>
    <w:p>
      <w:pPr>
        <w:spacing w:after="0"/>
        <w:rPr>
          <w:rFonts w:ascii="Arial Narrow" w:hAnsi="Arial Narrow"/>
        </w:rPr>
        <w:sectPr>
          <w:type w:val="continuous"/>
          <w:pgSz w:w="16840" w:h="11910" w:orient="landscape"/>
          <w:pgMar w:top="720" w:bottom="280" w:left="740" w:right="1020"/>
          <w:cols w:num="12" w:equalWidth="0">
            <w:col w:w="1887" w:space="371"/>
            <w:col w:w="929" w:space="1150"/>
            <w:col w:w="637" w:space="39"/>
            <w:col w:w="432" w:space="96"/>
            <w:col w:w="432" w:space="245"/>
            <w:col w:w="333" w:space="85"/>
            <w:col w:w="1896" w:space="71"/>
            <w:col w:w="864" w:space="1114"/>
            <w:col w:w="853" w:space="1123"/>
            <w:col w:w="625" w:space="39"/>
            <w:col w:w="315" w:space="464"/>
            <w:col w:w="1080"/>
          </w:cols>
        </w:sectPr>
      </w:pPr>
    </w:p>
    <w:p>
      <w:pPr>
        <w:pStyle w:val="Heading2"/>
        <w:spacing w:line="273" w:lineRule="auto"/>
        <w:ind w:right="10689"/>
      </w:pPr>
      <w:r>
        <w:rPr/>
        <w:t>Soins de base: laver, brosser les dents, mettre de la crème, habiller, coiffer,</w:t>
      </w:r>
      <w:r>
        <w:rPr>
          <w:spacing w:val="-11"/>
        </w:rPr>
        <w:t> </w:t>
      </w:r>
      <w:r>
        <w:rPr/>
        <w:t>raser,</w:t>
      </w:r>
      <w:r>
        <w:rPr>
          <w:spacing w:val="-10"/>
        </w:rPr>
        <w:t> </w:t>
      </w:r>
      <w:r>
        <w:rPr/>
        <w:t>couper</w:t>
      </w:r>
      <w:r>
        <w:rPr>
          <w:spacing w:val="-8"/>
        </w:rPr>
        <w:t> </w:t>
      </w:r>
      <w:r>
        <w:rPr/>
        <w:t>les</w:t>
      </w:r>
      <w:r>
        <w:rPr>
          <w:spacing w:val="-11"/>
        </w:rPr>
        <w:t> </w:t>
      </w:r>
      <w:r>
        <w:rPr/>
        <w:t>ongles,</w:t>
      </w:r>
      <w:r>
        <w:rPr>
          <w:spacing w:val="-10"/>
        </w:rPr>
        <w:t> </w:t>
      </w:r>
      <w:r>
        <w:rPr/>
        <w:t>nettoyer</w:t>
      </w:r>
      <w:r>
        <w:rPr>
          <w:spacing w:val="-9"/>
        </w:rPr>
        <w:t> </w:t>
      </w:r>
      <w:r>
        <w:rPr/>
        <w:t>les</w:t>
      </w:r>
      <w:r>
        <w:rPr>
          <w:spacing w:val="-12"/>
        </w:rPr>
        <w:t> </w:t>
      </w:r>
      <w:r>
        <w:rPr/>
        <w:t>oreilles,</w:t>
      </w:r>
      <w:r>
        <w:rPr>
          <w:spacing w:val="-11"/>
        </w:rPr>
        <w:t> </w:t>
      </w:r>
      <w:r>
        <w:rPr/>
        <w:t>etc.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cas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soins spéciaux:</w:t>
      </w:r>
      <w:r>
        <w:rPr>
          <w:spacing w:val="-14"/>
        </w:rPr>
        <w:t> </w:t>
      </w:r>
      <w:r>
        <w:rPr/>
        <w:t>soins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blessures,</w:t>
      </w:r>
      <w:r>
        <w:rPr>
          <w:spacing w:val="-5"/>
        </w:rPr>
        <w:t> </w:t>
      </w:r>
      <w:r>
        <w:rPr/>
        <w:t>prise de</w:t>
      </w:r>
      <w:r>
        <w:rPr>
          <w:spacing w:val="-1"/>
        </w:rPr>
        <w:t> </w:t>
      </w:r>
      <w:r>
        <w:rPr/>
        <w:t>sang,</w:t>
      </w:r>
      <w:r>
        <w:rPr>
          <w:spacing w:val="-7"/>
        </w:rPr>
        <w:t> </w:t>
      </w:r>
      <w:r>
        <w:rPr/>
        <w:t>injections,</w:t>
      </w:r>
      <w:r>
        <w:rPr>
          <w:spacing w:val="-7"/>
        </w:rPr>
        <w:t> </w:t>
      </w:r>
      <w:r>
        <w:rPr/>
        <w:t>etc.</w:t>
      </w:r>
    </w:p>
    <w:p>
      <w:pPr>
        <w:spacing w:after="0" w:line="273" w:lineRule="auto"/>
        <w:sectPr>
          <w:type w:val="continuous"/>
          <w:pgSz w:w="16840" w:h="11910" w:orient="landscape"/>
          <w:pgMar w:top="720" w:bottom="280" w:left="740" w:right="1020"/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pStyle w:val="BodyText"/>
        <w:spacing w:before="1"/>
        <w:ind w:left="426"/>
      </w:pPr>
      <w:r>
        <w:rPr/>
        <w:t>Infections en général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426"/>
      </w:pPr>
      <w:r>
        <w:rPr/>
        <w:t>Lésions dorsales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80" w:lineRule="auto"/>
        <w:ind w:left="426" w:right="129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724655pt;margin-top:-25.503622pt;width:166.75pt;height:38pt;mso-position-horizontal-relative:page;mso-position-vertical-relative:paragraph;z-index:-251900928" type="#_x0000_t202" filled="false" stroked="false">
            <v:textbox inset="0,0,0,0">
              <w:txbxContent>
                <w:p>
                  <w:pPr>
                    <w:pStyle w:val="BodyText"/>
                    <w:spacing w:line="114" w:lineRule="exact"/>
                    <w:ind w:left="1439"/>
                  </w:pPr>
                  <w:r>
                    <w:rPr/>
                    <w:t>personnes)</w:t>
                  </w:r>
                </w:p>
                <w:p>
                  <w:pPr>
                    <w:pStyle w:val="BodyText"/>
                    <w:spacing w:line="280" w:lineRule="auto" w:before="19"/>
                    <w:ind w:left="1439"/>
                  </w:pPr>
                  <w:r>
                    <w:rPr/>
                    <w:t>Utiliser des techniques appropriées pour porter et soulever</w:t>
                  </w:r>
                </w:p>
                <w:p>
                  <w:pPr>
                    <w:pStyle w:val="BodyText"/>
                    <w:spacing w:before="4"/>
                    <w:rPr>
                      <w:sz w:val="9"/>
                    </w:rPr>
                  </w:pPr>
                </w:p>
                <w:p>
                  <w:pPr>
                    <w:pStyle w:val="BodyText"/>
                    <w:tabs>
                      <w:tab w:pos="1439" w:val="left" w:leader="none"/>
                    </w:tabs>
                    <w:spacing w:line="280" w:lineRule="auto"/>
                    <w:ind w:firstLine="16"/>
                  </w:pPr>
                  <w:r>
                    <w:rPr/>
                    <w:t>ectieuses transmises </w:t>
                  </w:r>
                  <w:r>
                    <w:rPr>
                      <w:spacing w:val="-2"/>
                    </w:rPr>
                    <w:t>par </w:t>
                  </w:r>
                  <w:r>
                    <w:rPr>
                      <w:spacing w:val="-4"/>
                    </w:rPr>
                    <w:t>voie </w:t>
                  </w:r>
                  <w:r>
                    <w:rPr/>
                    <w:t>Vaccination contre l’hépatite B, contrôle épatite B,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VIH,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etc.)</w:t>
                    <w:tab/>
                    <w:t>du statut vaccinal chez tous 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4"/>
                    </w:rPr>
                    <w:t>nouveaux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919998pt;margin-top:-24.353722pt;width:172.8pt;height:39.6pt;mso-position-horizontal-relative:page;mso-position-vertical-relative:paragraph;z-index:-251898880" type="#_x0000_t202" filled="true" fillcolor="#ffffff" stroked="false">
            <v:textbox inset="0,0,0,0">
              <w:txbxContent>
                <w:p>
                  <w:pPr>
                    <w:spacing w:line="247" w:lineRule="auto" w:before="94"/>
                    <w:ind w:left="417" w:right="164" w:hanging="24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Détermination des dangers Evaluation des risques</w:t>
                  </w:r>
                </w:p>
              </w:txbxContent>
            </v:textbox>
            <v:fill type="solid"/>
            <w10:wrap type="none"/>
          </v:shape>
        </w:pict>
      </w:r>
      <w:r>
        <w:rPr/>
        <w:t>Maladies inf sanguine (h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426"/>
      </w:pPr>
      <w:r>
        <w:rPr/>
        <w:t>Blessures par piqûre d'aiguille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80" w:lineRule="auto" w:before="80"/>
        <w:ind w:left="426"/>
      </w:pPr>
      <w:r>
        <w:rPr/>
        <w:t>Contact avec du sang (blessures par éclats [tube de prélèvement sanguin], sang sur plaies ouvertes ou les muqueuses)</w:t>
      </w:r>
    </w:p>
    <w:p>
      <w:pPr>
        <w:pStyle w:val="BodyText"/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85" w:lineRule="auto"/>
        <w:ind w:left="426" w:right="5"/>
        <w:rPr>
          <w:b/>
        </w:rPr>
      </w:pPr>
      <w:r>
        <w:rPr/>
        <w:t>Autres maladies infectieuses: transmission du </w:t>
      </w:r>
      <w:r>
        <w:rPr>
          <w:b/>
        </w:rPr>
        <w:t>résident au</w:t>
      </w:r>
    </w:p>
    <w:p>
      <w:pPr>
        <w:pStyle w:val="BodyText"/>
        <w:spacing w:line="276" w:lineRule="auto"/>
        <w:ind w:left="426"/>
      </w:pPr>
      <w:r>
        <w:rPr>
          <w:b/>
        </w:rPr>
        <w:t>collaborateur </w:t>
      </w:r>
      <w:r>
        <w:rPr/>
        <w:t>(tuberculose, blessures purulentes, infections des voies respiratoires, sepsis, agents pathogènes spéciaux comme Pseudomonas</w:t>
      </w:r>
    </w:p>
    <w:p>
      <w:pPr>
        <w:pStyle w:val="BodyText"/>
        <w:spacing w:before="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328" w:lineRule="auto" w:before="1"/>
        <w:ind w:left="81" w:right="216"/>
      </w:pPr>
      <w:r>
        <w:rPr/>
        <w:t>Instruction du personnel en général Utiliser des affiches pour informer Porter des gants adéquats</w:t>
      </w:r>
    </w:p>
    <w:p>
      <w:pPr>
        <w:pStyle w:val="BodyText"/>
        <w:spacing w:line="280" w:lineRule="auto"/>
        <w:ind w:left="81"/>
      </w:pPr>
      <w:r>
        <w:rPr/>
        <w:t>Eviter tout contact direct avec les liquides corporels</w:t>
      </w:r>
    </w:p>
    <w:p>
      <w:pPr>
        <w:pStyle w:val="BodyText"/>
        <w:spacing w:line="283" w:lineRule="auto"/>
        <w:ind w:left="81" w:right="150"/>
      </w:pPr>
      <w:r>
        <w:rPr/>
        <w:t>Ne jamais replacer la protection sur une aiguille usagée </w:t>
      </w:r>
      <w:r>
        <w:rPr>
          <w:spacing w:val="-5"/>
        </w:rPr>
        <w:t>avec </w:t>
      </w:r>
      <w:r>
        <w:rPr/>
        <w:t>les deux mains Prise en compte des principes ergonomiques:</w:t>
      </w:r>
    </w:p>
    <w:p>
      <w:pPr>
        <w:pStyle w:val="BodyText"/>
        <w:spacing w:line="280" w:lineRule="auto" w:before="14"/>
        <w:ind w:left="81" w:right="209"/>
      </w:pPr>
      <w:r>
        <w:rPr/>
        <w:t>Régler la hauteur de travail de manière optimale</w:t>
      </w:r>
    </w:p>
    <w:p>
      <w:pPr>
        <w:pStyle w:val="BodyText"/>
        <w:spacing w:line="112" w:lineRule="exact"/>
        <w:ind w:left="81"/>
      </w:pPr>
      <w:r>
        <w:rPr/>
        <w:t>Utiliser des dispositifs d’aide (lève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8" w:lineRule="auto" w:before="1"/>
        <w:ind w:left="81"/>
      </w:pPr>
      <w:r>
        <w:rPr/>
        <w:t>collaborateurs ayant contact avec les résidents (personnel soignant, médecins, personnel de nettoyage, collaborateurs</w:t>
      </w:r>
    </w:p>
    <w:p>
      <w:pPr>
        <w:pStyle w:val="BodyText"/>
        <w:spacing w:line="280" w:lineRule="auto"/>
        <w:ind w:left="81" w:right="216"/>
      </w:pPr>
      <w:r>
        <w:rPr/>
        <w:t>temporaires, stagiaires, etc.), documentation</w:t>
      </w:r>
    </w:p>
    <w:p>
      <w:pPr>
        <w:pStyle w:val="BodyText"/>
        <w:spacing w:line="280" w:lineRule="auto" w:before="46"/>
        <w:ind w:left="81" w:right="216"/>
      </w:pPr>
      <w:r>
        <w:rPr/>
        <w:t>Instruction du personnel sur le comportement à</w:t>
      </w:r>
      <w:r>
        <w:rPr>
          <w:spacing w:val="8"/>
        </w:rPr>
        <w:t> </w:t>
      </w:r>
      <w:r>
        <w:rPr/>
        <w:t>adopter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81"/>
      </w:pPr>
      <w:r>
        <w:rPr/>
        <w:t>Pas  de</w:t>
      </w:r>
      <w:r>
        <w:rPr>
          <w:spacing w:val="-12"/>
        </w:rPr>
        <w:t> </w:t>
      </w:r>
      <w:r>
        <w:rPr/>
        <w:t>recapuchonnage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78"/>
        <w:ind w:left="81" w:right="216"/>
      </w:pPr>
      <w:r>
        <w:rPr/>
        <w:t>Mettre à disposition des récipients résistant au percement</w:t>
      </w:r>
    </w:p>
    <w:p>
      <w:pPr>
        <w:pStyle w:val="BodyText"/>
        <w:spacing w:line="280" w:lineRule="auto" w:before="9"/>
        <w:ind w:left="81" w:right="110"/>
      </w:pPr>
      <w:r>
        <w:rPr/>
        <w:t>Information périodique sur la manière de procéder (soins de plaies, désinfection des chambres, etc.)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76" w:lineRule="auto"/>
        <w:ind w:left="81" w:right="10"/>
      </w:pPr>
      <w:r>
        <w:rPr/>
        <w:t>Information périodique sur les symptômes de la tuberculose</w:t>
      </w:r>
    </w:p>
    <w:p>
      <w:pPr>
        <w:pStyle w:val="BodyText"/>
        <w:spacing w:line="280" w:lineRule="auto" w:before="2"/>
        <w:ind w:left="81" w:right="216"/>
      </w:pPr>
      <w:r>
        <w:rPr/>
        <w:t>Organiser l'élimination du matériel infectieux</w:t>
      </w:r>
    </w:p>
    <w:p>
      <w:pPr>
        <w:pStyle w:val="BodyText"/>
        <w:spacing w:line="276" w:lineRule="auto"/>
        <w:ind w:left="81" w:right="216"/>
      </w:pPr>
      <w:r>
        <w:rPr/>
        <w:t>Utiliser des gants et un masque de protection respiratoire si nécessaire</w:t>
      </w:r>
    </w:p>
    <w:p>
      <w:pPr>
        <w:pStyle w:val="BodyText"/>
        <w:spacing w:before="2"/>
        <w:ind w:left="81"/>
      </w:pPr>
      <w:r>
        <w:rPr/>
        <w:t>Vaccination des résidents contre la grippe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76" w:lineRule="auto" w:before="88"/>
        <w:ind w:left="426" w:right="27"/>
      </w:pPr>
      <w:r>
        <w:rPr/>
        <w:t>Soulever et porter: les principes / kinesthétique</w:t>
      </w:r>
    </w:p>
    <w:p>
      <w:pPr>
        <w:pStyle w:val="BodyText"/>
        <w:spacing w:line="280" w:lineRule="auto" w:before="19"/>
        <w:ind w:left="426" w:right="27"/>
      </w:pPr>
      <w:r>
        <w:rPr/>
        <w:t>Liste de contrôle SUVA "Manutention de charges", référence 67089</w:t>
      </w:r>
    </w:p>
    <w:p>
      <w:pPr>
        <w:pStyle w:val="BodyText"/>
        <w:spacing w:line="280" w:lineRule="auto"/>
        <w:ind w:left="426" w:right="27"/>
      </w:pPr>
      <w:r>
        <w:rPr/>
        <w:t>Feuillet d'information CFST "Manutention de charges", référence 6245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80" w:lineRule="auto"/>
        <w:ind w:left="426" w:right="27"/>
      </w:pPr>
      <w:r>
        <w:rPr/>
        <w:t>Brochures Suva "Prévention des maladies infectieuses transmises par voie sanguine dans le secteur sanitaire", références 2869/30 et 2869/31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80" w:lineRule="auto"/>
        <w:ind w:left="426" w:right="50"/>
      </w:pPr>
      <w:r>
        <w:rPr/>
        <w:t>Affiche Suva "Je me suis piqué(e) !…", référence 2865, et "Travaux de nettoyage: Protège-toi contre…", référence 2866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426"/>
      </w:pPr>
      <w:r>
        <w:rPr/>
        <w:t>Concept norovirus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47" w:lineRule="auto" w:before="213"/>
        <w:ind w:left="752" w:right="3046"/>
      </w:pPr>
      <w:r>
        <w:rPr/>
        <w:t>Planification et mise en place de mesures</w:t>
      </w:r>
    </w:p>
    <w:p>
      <w:pPr>
        <w:spacing w:after="0" w:line="247" w:lineRule="auto"/>
        <w:sectPr>
          <w:type w:val="continuous"/>
          <w:pgSz w:w="16840" w:h="11910" w:orient="landscape"/>
          <w:pgMar w:top="720" w:bottom="280" w:left="740" w:right="1020"/>
          <w:cols w:num="4" w:equalWidth="0">
            <w:col w:w="2273" w:space="40"/>
            <w:col w:w="2039" w:space="1994"/>
            <w:col w:w="2367" w:space="208"/>
            <w:col w:w="615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tabs>
          <w:tab w:pos="6875" w:val="left" w:leader="none"/>
          <w:tab w:pos="13434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92</w:t>
        <w:tab/>
        <w:t>version</w:t>
      </w:r>
      <w:r>
        <w:rPr>
          <w:spacing w:val="-2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6840" w:h="1191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</w:rPr>
  </w:style>
  <w:style w:styleId="Heading1" w:type="paragraph">
    <w:name w:val="Heading 1"/>
    <w:basedOn w:val="Normal"/>
    <w:uiPriority w:val="1"/>
    <w:qFormat/>
    <w:pPr>
      <w:spacing w:before="94"/>
      <w:ind w:left="417" w:right="164" w:hanging="327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1"/>
      <w:ind w:left="135"/>
      <w:outlineLvl w:val="2"/>
    </w:pPr>
    <w:rPr>
      <w:rFonts w:ascii="Arial" w:hAnsi="Arial" w:eastAsia="Arial" w:cs="Arial"/>
      <w:b/>
      <w:bCs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2020-08-06T12:45:58Z</dcterms:created>
  <dcterms:modified xsi:type="dcterms:W3CDTF">2020-08-06T12:45:58Z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