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95" w:val="left" w:leader="none"/>
        </w:tabs>
        <w:spacing w:line="240" w:lineRule="auto"/>
        <w:ind w:left="10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7243" cy="5532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243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before="89"/>
        <w:ind w:left="4549" w:right="0" w:hanging="3711"/>
        <w:jc w:val="left"/>
        <w:rPr>
          <w:b/>
          <w:sz w:val="32"/>
        </w:rPr>
      </w:pPr>
      <w:r>
        <w:rPr>
          <w:b/>
          <w:sz w:val="32"/>
        </w:rPr>
        <w:t>7.4.1 Organisation des premiers secours, protection contre l’incendie</w:t>
      </w:r>
    </w:p>
    <w:p>
      <w:pPr>
        <w:pStyle w:val="Heading1"/>
        <w:spacing w:before="275"/>
      </w:pPr>
      <w:r>
        <w:rPr/>
        <w:t>Matériel sanitaire</w:t>
      </w:r>
    </w:p>
    <w:p>
      <w:pPr>
        <w:pStyle w:val="BodyText"/>
        <w:rPr>
          <w:b/>
        </w:rPr>
      </w:pPr>
    </w:p>
    <w:p>
      <w:pPr>
        <w:pStyle w:val="BodyText"/>
        <w:ind w:left="395"/>
      </w:pPr>
      <w:r>
        <w:rPr/>
        <w:t>Trousses de premiers secours à chaque étage et dans chaque atelier/salle de bricolage et véhicule</w:t>
      </w:r>
    </w:p>
    <w:p>
      <w:pPr>
        <w:pStyle w:val="BodyText"/>
        <w:ind w:left="395"/>
      </w:pPr>
      <w:r>
        <w:rPr/>
        <w:t>Contenu : selon la liste se trouvant dans la trousse, plus éventuellement lampe de poche, loupe ou loupe éclairante</w:t>
      </w:r>
    </w:p>
    <w:p>
      <w:pPr>
        <w:pStyle w:val="BodyText"/>
      </w:pPr>
    </w:p>
    <w:p>
      <w:pPr>
        <w:pStyle w:val="BodyText"/>
        <w:ind w:left="395"/>
      </w:pPr>
      <w:r>
        <w:rPr/>
        <w:t>Indications sur la composition/le contenu des trousses de premier secours également à l’adresse </w:t>
      </w:r>
      <w:r>
        <w:rPr>
          <w:color w:val="0000FF"/>
          <w:spacing w:val="-134"/>
          <w:u w:val="single" w:color="0000FF"/>
        </w:rPr>
        <w:t>h</w:t>
      </w:r>
      <w:r>
        <w:rPr>
          <w:color w:val="0000FF"/>
          <w:spacing w:val="68"/>
        </w:rPr>
        <w:t> </w:t>
      </w:r>
      <w:r>
        <w:rPr>
          <w:color w:val="0000FF"/>
          <w:u w:val="single" w:color="0000FF"/>
        </w:rPr>
        <w:t>ttp://</w:t>
      </w:r>
      <w:hyperlink r:id="rId7">
        <w:r>
          <w:rPr>
            <w:color w:val="0000FF"/>
            <w:u w:val="single" w:color="0000FF"/>
          </w:rPr>
          <w:t>www.svbs-asse.ch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92"/>
      </w:pPr>
      <w:r>
        <w:rPr/>
        <w:t>Extincteurs / voies d’évacuation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0" w:hanging="358"/>
        <w:jc w:val="left"/>
        <w:rPr>
          <w:sz w:val="24"/>
        </w:rPr>
      </w:pPr>
      <w:r>
        <w:rPr>
          <w:sz w:val="24"/>
        </w:rPr>
        <w:t>Extincteurs manuels / postes incendie clairement signalés et librement</w:t>
      </w:r>
      <w:r>
        <w:rPr>
          <w:spacing w:val="-6"/>
          <w:sz w:val="24"/>
        </w:rPr>
        <w:t> </w:t>
      </w:r>
      <w:r>
        <w:rPr>
          <w:sz w:val="24"/>
        </w:rPr>
        <w:t>accessibles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0" w:hanging="358"/>
        <w:jc w:val="left"/>
        <w:rPr>
          <w:sz w:val="24"/>
        </w:rPr>
      </w:pPr>
      <w:r>
        <w:rPr>
          <w:sz w:val="24"/>
        </w:rPr>
        <w:t>Instruction sur l’utilisation des extincteurs (une fois par</w:t>
      </w:r>
      <w:r>
        <w:rPr>
          <w:spacing w:val="-1"/>
          <w:sz w:val="24"/>
        </w:rPr>
        <w:t> </w:t>
      </w:r>
      <w:r>
        <w:rPr>
          <w:sz w:val="24"/>
        </w:rPr>
        <w:t>an)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0" w:hanging="358"/>
        <w:jc w:val="left"/>
        <w:rPr>
          <w:sz w:val="24"/>
        </w:rPr>
      </w:pPr>
      <w:r>
        <w:rPr>
          <w:sz w:val="24"/>
        </w:rPr>
        <w:t>Voies d’évacuation (couloirs, chambres, etc.) signalées et libres de tout</w:t>
      </w:r>
      <w:r>
        <w:rPr>
          <w:spacing w:val="-35"/>
          <w:sz w:val="24"/>
        </w:rPr>
        <w:t> </w:t>
      </w:r>
      <w:r>
        <w:rPr>
          <w:sz w:val="24"/>
        </w:rPr>
        <w:t>encombrement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107" w:hanging="358"/>
        <w:jc w:val="left"/>
        <w:rPr>
          <w:sz w:val="24"/>
        </w:rPr>
      </w:pPr>
      <w:r>
        <w:rPr>
          <w:sz w:val="24"/>
        </w:rPr>
        <w:t>Instruire quant au comportement à adopter en cas d’incendie/d’évacuation et exercer ce comportement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Information premiers secours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" w:after="0"/>
        <w:ind w:left="829" w:right="0" w:hanging="358"/>
        <w:jc w:val="left"/>
        <w:rPr>
          <w:sz w:val="24"/>
        </w:rPr>
      </w:pPr>
      <w:r>
        <w:rPr>
          <w:sz w:val="24"/>
        </w:rPr>
        <w:t>Affiches sur tableaux d’affichage et dans la salle de pause de chaque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93" w:lineRule="exact" w:before="0" w:after="0"/>
        <w:ind w:left="824" w:right="0" w:hanging="356"/>
        <w:jc w:val="left"/>
        <w:rPr>
          <w:sz w:val="24"/>
        </w:rPr>
      </w:pPr>
      <w:r>
        <w:rPr>
          <w:sz w:val="24"/>
        </w:rPr>
        <w:t>Manière de procéder en cas d’accident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967" w:val="left" w:leader="none"/>
        </w:tabs>
        <w:spacing w:line="275" w:lineRule="exact" w:before="0" w:after="0"/>
        <w:ind w:left="966" w:right="0" w:hanging="147"/>
        <w:jc w:val="left"/>
        <w:rPr>
          <w:sz w:val="24"/>
        </w:rPr>
      </w:pPr>
      <w:r>
        <w:rPr>
          <w:sz w:val="24"/>
        </w:rPr>
        <w:t>Appréciation de la situation, protection, sécurisation, sauvetage, aide</w:t>
      </w:r>
      <w:r>
        <w:rPr>
          <w:spacing w:val="-3"/>
          <w:sz w:val="24"/>
        </w:rPr>
        <w:t> </w:t>
      </w:r>
      <w:r>
        <w:rPr>
          <w:sz w:val="24"/>
        </w:rPr>
        <w:t>d’urgence</w:t>
      </w:r>
    </w:p>
    <w:p>
      <w:pPr>
        <w:pStyle w:val="ListParagraph"/>
        <w:numPr>
          <w:ilvl w:val="1"/>
          <w:numId w:val="1"/>
        </w:numPr>
        <w:tabs>
          <w:tab w:pos="967" w:val="left" w:leader="none"/>
        </w:tabs>
        <w:spacing w:line="240" w:lineRule="auto" w:before="0" w:after="0"/>
        <w:ind w:left="966" w:right="0" w:hanging="147"/>
        <w:jc w:val="left"/>
        <w:rPr>
          <w:sz w:val="24"/>
        </w:rPr>
      </w:pPr>
      <w:r>
        <w:rPr>
          <w:sz w:val="24"/>
        </w:rPr>
        <w:t>Numéros d’appel d’urgence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" w:after="0"/>
        <w:ind w:left="829" w:right="0" w:hanging="358"/>
        <w:jc w:val="left"/>
        <w:rPr>
          <w:sz w:val="24"/>
        </w:rPr>
      </w:pPr>
      <w:r>
        <w:rPr>
          <w:sz w:val="24"/>
        </w:rPr>
        <w:t>Plan d’alerte et d’évacuation faciles à</w:t>
      </w:r>
      <w:r>
        <w:rPr>
          <w:spacing w:val="-1"/>
          <w:sz w:val="24"/>
        </w:rPr>
        <w:t> </w:t>
      </w:r>
      <w:r>
        <w:rPr>
          <w:sz w:val="24"/>
        </w:rPr>
        <w:t>trouver</w:t>
      </w:r>
    </w:p>
    <w:p>
      <w:pPr>
        <w:pStyle w:val="BodyText"/>
        <w:rPr>
          <w:sz w:val="28"/>
        </w:rPr>
      </w:pPr>
    </w:p>
    <w:p>
      <w:pPr>
        <w:pStyle w:val="Heading1"/>
        <w:spacing w:before="225"/>
      </w:pPr>
      <w:r>
        <w:rPr/>
        <w:t>Maintenance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93" w:lineRule="exact" w:before="0" w:after="0"/>
        <w:ind w:left="829" w:right="0" w:hanging="358"/>
        <w:jc w:val="left"/>
        <w:rPr>
          <w:sz w:val="24"/>
        </w:rPr>
      </w:pPr>
      <w:r>
        <w:rPr>
          <w:sz w:val="24"/>
        </w:rPr>
        <w:t>Renouvellement régulier de la trousse de premiers</w:t>
      </w:r>
      <w:r>
        <w:rPr>
          <w:spacing w:val="1"/>
          <w:sz w:val="24"/>
        </w:rPr>
        <w:t> </w:t>
      </w:r>
      <w:r>
        <w:rPr>
          <w:sz w:val="24"/>
        </w:rPr>
        <w:t>secours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110" w:hanging="358"/>
        <w:jc w:val="left"/>
        <w:rPr>
          <w:sz w:val="24"/>
        </w:rPr>
      </w:pPr>
      <w:r>
        <w:rPr>
          <w:sz w:val="24"/>
        </w:rPr>
        <w:t>Maintenance régulière des extincteurs par les fournisseurs et après chaque utilisation (CHAP. 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tabs>
          <w:tab w:pos="5408" w:val="left" w:leader="none"/>
          <w:tab w:pos="8502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106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38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9" w:hanging="358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-"/>
      <w:lvlJc w:val="left"/>
      <w:pPr>
        <w:ind w:left="966" w:hanging="147"/>
      </w:pPr>
      <w:rPr>
        <w:rFonts w:hint="default" w:ascii="Arial" w:hAnsi="Arial" w:eastAsia="Arial" w:cs="Arial"/>
        <w:spacing w:val="-3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980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1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2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4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29" w:hanging="35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svbs-asse.ch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2020-08-06T12:47:00Z</dcterms:created>
  <dcterms:modified xsi:type="dcterms:W3CDTF">2020-08-06T12:47:00Z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