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86"/>
        <w:ind w:left="980" w:right="0" w:firstLine="0"/>
        <w:jc w:val="left"/>
        <w:rPr>
          <w:b/>
          <w:sz w:val="32"/>
        </w:rPr>
      </w:pPr>
      <w:r>
        <w:rPr>
          <w:b/>
          <w:sz w:val="32"/>
        </w:rPr>
        <w:t>9.4.18 Recommandations gestion des produits chimiques</w:t>
      </w:r>
    </w:p>
    <w:p>
      <w:pPr>
        <w:pStyle w:val="BodyText"/>
        <w:spacing w:before="280"/>
        <w:ind w:right="109"/>
      </w:pPr>
      <w:r>
        <w:rPr/>
        <w:t>Le règlement relatif à la classification, à l'étiquetage et à l'emballage (CLP) repose sur le sys- tème général harmonisé des Nations unies (SGH) et a pour objet d'assurer un niveau élevé de</w:t>
      </w:r>
      <w:r>
        <w:rPr>
          <w:spacing w:val="-11"/>
        </w:rPr>
        <w:t> </w:t>
      </w:r>
      <w:r>
        <w:rPr/>
        <w:t>protection</w:t>
      </w:r>
      <w:r>
        <w:rPr>
          <w:spacing w:val="-13"/>
        </w:rPr>
        <w:t> </w:t>
      </w:r>
      <w:r>
        <w:rPr/>
        <w:t>de</w:t>
      </w:r>
      <w:r>
        <w:rPr>
          <w:spacing w:val="-11"/>
        </w:rPr>
        <w:t> </w:t>
      </w:r>
      <w:r>
        <w:rPr/>
        <w:t>la</w:t>
      </w:r>
      <w:r>
        <w:rPr>
          <w:spacing w:val="-13"/>
        </w:rPr>
        <w:t> </w:t>
      </w:r>
      <w:r>
        <w:rPr/>
        <w:t>santé</w:t>
      </w:r>
      <w:r>
        <w:rPr>
          <w:spacing w:val="-13"/>
        </w:rPr>
        <w:t> </w:t>
      </w:r>
      <w:r>
        <w:rPr/>
        <w:t>humaine</w:t>
      </w:r>
      <w:r>
        <w:rPr>
          <w:spacing w:val="-11"/>
        </w:rPr>
        <w:t> </w:t>
      </w:r>
      <w:r>
        <w:rPr/>
        <w:t>et</w:t>
      </w:r>
      <w:r>
        <w:rPr>
          <w:spacing w:val="-15"/>
        </w:rPr>
        <w:t> </w:t>
      </w:r>
      <w:r>
        <w:rPr/>
        <w:t>de</w:t>
      </w:r>
      <w:r>
        <w:rPr>
          <w:spacing w:val="-10"/>
        </w:rPr>
        <w:t> </w:t>
      </w:r>
      <w:r>
        <w:rPr/>
        <w:t>l'environnement,</w:t>
      </w:r>
      <w:r>
        <w:rPr>
          <w:spacing w:val="-15"/>
        </w:rPr>
        <w:t> </w:t>
      </w:r>
      <w:r>
        <w:rPr/>
        <w:t>ainsi</w:t>
      </w:r>
      <w:r>
        <w:rPr>
          <w:spacing w:val="-15"/>
        </w:rPr>
        <w:t> </w:t>
      </w:r>
      <w:r>
        <w:rPr/>
        <w:t>que</w:t>
      </w:r>
      <w:r>
        <w:rPr>
          <w:spacing w:val="-9"/>
        </w:rPr>
        <w:t> </w:t>
      </w:r>
      <w:r>
        <w:rPr/>
        <w:t>la</w:t>
      </w:r>
      <w:r>
        <w:rPr>
          <w:spacing w:val="-15"/>
        </w:rPr>
        <w:t> </w:t>
      </w:r>
      <w:r>
        <w:rPr/>
        <w:t>libre</w:t>
      </w:r>
      <w:r>
        <w:rPr>
          <w:spacing w:val="-13"/>
        </w:rPr>
        <w:t> </w:t>
      </w:r>
      <w:r>
        <w:rPr/>
        <w:t>circulation</w:t>
      </w:r>
      <w:r>
        <w:rPr>
          <w:spacing w:val="-10"/>
        </w:rPr>
        <w:t> </w:t>
      </w:r>
      <w:r>
        <w:rPr/>
        <w:t>des</w:t>
      </w:r>
      <w:r>
        <w:rPr>
          <w:spacing w:val="-13"/>
        </w:rPr>
        <w:t> </w:t>
      </w:r>
      <w:r>
        <w:rPr/>
        <w:t>subs- tances, des mélanges et des</w:t>
      </w:r>
      <w:r>
        <w:rPr>
          <w:spacing w:val="1"/>
        </w:rPr>
        <w:t> </w:t>
      </w:r>
      <w:r>
        <w:rPr/>
        <w:t>articles.</w:t>
      </w:r>
    </w:p>
    <w:p>
      <w:pPr>
        <w:pStyle w:val="BodyText"/>
        <w:spacing w:before="228"/>
        <w:ind w:right="107"/>
      </w:pPr>
      <w:r>
        <w:rPr/>
        <w:t>Le règlement CLP a modifié la directive relative aux substances dangereuses (67/548/CEE (DSD)), la directive relative aux préparations dangereuses (1999/45/CE (DPD)) et le règle- ment(CE) nº 1907/2006 (REACH).</w:t>
      </w:r>
    </w:p>
    <w:p>
      <w:pPr>
        <w:pStyle w:val="BodyText"/>
        <w:spacing w:before="229"/>
        <w:ind w:right="109"/>
      </w:pPr>
      <w:r>
        <w:rPr/>
        <w:t>Le règlement CLP requiert que les fabricants, les importateurs ou les utilisateurs en aval de substances ou de mélanges procèdent à la classification, à l’étiquetage et à l’emballage de leurs produits chimiques dangereux de manière appropriée avant leur mise sur le marché.</w:t>
      </w:r>
    </w:p>
    <w:p>
      <w:pPr>
        <w:pStyle w:val="BodyText"/>
        <w:spacing w:before="228"/>
        <w:ind w:right="109"/>
      </w:pPr>
      <w:r>
        <w:rPr/>
        <w:t>Lorsque des informations pertinentes (par exemple, des données toxicologiques) sur une substance ou un mélange répondent aux critères de classification du CLP, les dangers d’une substance ou d’un mélange sont identifiés en attribuant une certaine classe et catégorie de danger.</w:t>
      </w:r>
    </w:p>
    <w:p>
      <w:pPr>
        <w:pStyle w:val="BodyText"/>
        <w:spacing w:before="230"/>
        <w:ind w:right="109"/>
      </w:pPr>
      <w:r>
        <w:rPr/>
        <w:t>Une fois qu’une substance ou un mélange est classé, les dangers identifiés doivent être com- muniqués</w:t>
      </w:r>
      <w:r>
        <w:rPr>
          <w:spacing w:val="-18"/>
        </w:rPr>
        <w:t> </w:t>
      </w:r>
      <w:r>
        <w:rPr/>
        <w:t>aux</w:t>
      </w:r>
      <w:r>
        <w:rPr>
          <w:spacing w:val="-20"/>
        </w:rPr>
        <w:t> </w:t>
      </w:r>
      <w:r>
        <w:rPr/>
        <w:t>autres</w:t>
      </w:r>
      <w:r>
        <w:rPr>
          <w:spacing w:val="-20"/>
        </w:rPr>
        <w:t> </w:t>
      </w:r>
      <w:r>
        <w:rPr/>
        <w:t>acteurs</w:t>
      </w:r>
      <w:r>
        <w:rPr>
          <w:spacing w:val="-20"/>
        </w:rPr>
        <w:t> </w:t>
      </w:r>
      <w:r>
        <w:rPr/>
        <w:t>de</w:t>
      </w:r>
      <w:r>
        <w:rPr>
          <w:spacing w:val="-15"/>
        </w:rPr>
        <w:t> </w:t>
      </w:r>
      <w:r>
        <w:rPr/>
        <w:t>la</w:t>
      </w:r>
      <w:r>
        <w:rPr>
          <w:spacing w:val="-19"/>
        </w:rPr>
        <w:t> </w:t>
      </w:r>
      <w:r>
        <w:rPr/>
        <w:t>chaîne</w:t>
      </w:r>
      <w:r>
        <w:rPr>
          <w:spacing w:val="-15"/>
        </w:rPr>
        <w:t> </w:t>
      </w:r>
      <w:r>
        <w:rPr/>
        <w:t>d'approvisionnement,</w:t>
      </w:r>
      <w:r>
        <w:rPr>
          <w:spacing w:val="-17"/>
        </w:rPr>
        <w:t> </w:t>
      </w:r>
      <w:r>
        <w:rPr/>
        <w:t>y</w:t>
      </w:r>
      <w:r>
        <w:rPr>
          <w:spacing w:val="-20"/>
        </w:rPr>
        <w:t> </w:t>
      </w:r>
      <w:r>
        <w:rPr/>
        <w:t>compris</w:t>
      </w:r>
      <w:r>
        <w:rPr>
          <w:spacing w:val="-18"/>
        </w:rPr>
        <w:t> </w:t>
      </w:r>
      <w:r>
        <w:rPr/>
        <w:t>les</w:t>
      </w:r>
      <w:r>
        <w:rPr>
          <w:spacing w:val="-18"/>
        </w:rPr>
        <w:t> </w:t>
      </w:r>
      <w:r>
        <w:rPr/>
        <w:t>consommateurs. L'étiquetage des dangers permet de communiquer la classification des dangers à l'utilisateur d'une substance ou d'un mélange, grâce aux étiquettes et aux fiches de données de sécurité, et de l'alerter de la présence d'un danger ainsi que de la nécessité de gérer les risques qui</w:t>
      </w:r>
      <w:r>
        <w:rPr>
          <w:spacing w:val="-29"/>
        </w:rPr>
        <w:t> </w:t>
      </w:r>
      <w:r>
        <w:rPr/>
        <w:t>en résultent.</w:t>
      </w:r>
    </w:p>
    <w:p>
      <w:pPr>
        <w:pStyle w:val="BodyText"/>
        <w:spacing w:before="231"/>
        <w:ind w:right="110"/>
      </w:pPr>
      <w:r>
        <w:rPr/>
        <w:t>Le</w:t>
      </w:r>
      <w:r>
        <w:rPr>
          <w:spacing w:val="-9"/>
        </w:rPr>
        <w:t> </w:t>
      </w:r>
      <w:r>
        <w:rPr/>
        <w:t>CLP</w:t>
      </w:r>
      <w:r>
        <w:rPr>
          <w:spacing w:val="-14"/>
        </w:rPr>
        <w:t> </w:t>
      </w:r>
      <w:r>
        <w:rPr/>
        <w:t>fixe</w:t>
      </w:r>
      <w:r>
        <w:rPr>
          <w:spacing w:val="-12"/>
        </w:rPr>
        <w:t> </w:t>
      </w:r>
      <w:r>
        <w:rPr/>
        <w:t>des</w:t>
      </w:r>
      <w:r>
        <w:rPr>
          <w:spacing w:val="-12"/>
        </w:rPr>
        <w:t> </w:t>
      </w:r>
      <w:r>
        <w:rPr/>
        <w:t>critères</w:t>
      </w:r>
      <w:r>
        <w:rPr>
          <w:spacing w:val="-11"/>
        </w:rPr>
        <w:t> </w:t>
      </w:r>
      <w:r>
        <w:rPr/>
        <w:t>détaillés</w:t>
      </w:r>
      <w:r>
        <w:rPr>
          <w:spacing w:val="-12"/>
        </w:rPr>
        <w:t> </w:t>
      </w:r>
      <w:r>
        <w:rPr/>
        <w:t>pour</w:t>
      </w:r>
      <w:r>
        <w:rPr>
          <w:spacing w:val="-10"/>
        </w:rPr>
        <w:t> </w:t>
      </w:r>
      <w:r>
        <w:rPr/>
        <w:t>les</w:t>
      </w:r>
      <w:r>
        <w:rPr>
          <w:spacing w:val="-14"/>
        </w:rPr>
        <w:t> </w:t>
      </w:r>
      <w:r>
        <w:rPr/>
        <w:t>éléments</w:t>
      </w:r>
      <w:r>
        <w:rPr>
          <w:spacing w:val="-11"/>
        </w:rPr>
        <w:t> </w:t>
      </w:r>
      <w:r>
        <w:rPr/>
        <w:t>d'étiquetage:</w:t>
      </w:r>
      <w:r>
        <w:rPr>
          <w:spacing w:val="-12"/>
        </w:rPr>
        <w:t> </w:t>
      </w:r>
      <w:r>
        <w:rPr/>
        <w:t>des</w:t>
      </w:r>
      <w:r>
        <w:rPr>
          <w:spacing w:val="-12"/>
        </w:rPr>
        <w:t> </w:t>
      </w:r>
      <w:r>
        <w:rPr/>
        <w:t>pictogrammes,</w:t>
      </w:r>
      <w:r>
        <w:rPr>
          <w:spacing w:val="-12"/>
        </w:rPr>
        <w:t> </w:t>
      </w:r>
      <w:r>
        <w:rPr/>
        <w:t>des</w:t>
      </w:r>
      <w:r>
        <w:rPr>
          <w:spacing w:val="-12"/>
        </w:rPr>
        <w:t> </w:t>
      </w:r>
      <w:r>
        <w:rPr/>
        <w:t>men- tions</w:t>
      </w:r>
      <w:r>
        <w:rPr>
          <w:spacing w:val="-9"/>
        </w:rPr>
        <w:t> </w:t>
      </w:r>
      <w:r>
        <w:rPr/>
        <w:t>d'avertissement</w:t>
      </w:r>
      <w:r>
        <w:rPr>
          <w:spacing w:val="-9"/>
        </w:rPr>
        <w:t> </w:t>
      </w:r>
      <w:r>
        <w:rPr/>
        <w:t>et</w:t>
      </w:r>
      <w:r>
        <w:rPr>
          <w:spacing w:val="-11"/>
        </w:rPr>
        <w:t> </w:t>
      </w:r>
      <w:r>
        <w:rPr/>
        <w:t>des</w:t>
      </w:r>
      <w:r>
        <w:rPr>
          <w:spacing w:val="-12"/>
        </w:rPr>
        <w:t> </w:t>
      </w:r>
      <w:r>
        <w:rPr/>
        <w:t>mentions</w:t>
      </w:r>
      <w:r>
        <w:rPr>
          <w:spacing w:val="-11"/>
        </w:rPr>
        <w:t> </w:t>
      </w:r>
      <w:r>
        <w:rPr/>
        <w:t>types</w:t>
      </w:r>
      <w:r>
        <w:rPr>
          <w:spacing w:val="-9"/>
        </w:rPr>
        <w:t> </w:t>
      </w:r>
      <w:r>
        <w:rPr/>
        <w:t>pour</w:t>
      </w:r>
      <w:r>
        <w:rPr>
          <w:spacing w:val="-12"/>
        </w:rPr>
        <w:t> </w:t>
      </w:r>
      <w:r>
        <w:rPr/>
        <w:t>le</w:t>
      </w:r>
      <w:r>
        <w:rPr>
          <w:spacing w:val="-11"/>
        </w:rPr>
        <w:t> </w:t>
      </w:r>
      <w:r>
        <w:rPr/>
        <w:t>danger,</w:t>
      </w:r>
      <w:r>
        <w:rPr>
          <w:spacing w:val="-12"/>
        </w:rPr>
        <w:t> </w:t>
      </w:r>
      <w:r>
        <w:rPr/>
        <w:t>la</w:t>
      </w:r>
      <w:r>
        <w:rPr>
          <w:spacing w:val="-11"/>
        </w:rPr>
        <w:t> </w:t>
      </w:r>
      <w:r>
        <w:rPr/>
        <w:t>prévention,</w:t>
      </w:r>
      <w:r>
        <w:rPr>
          <w:spacing w:val="-9"/>
        </w:rPr>
        <w:t> </w:t>
      </w:r>
      <w:r>
        <w:rPr/>
        <w:t>la</w:t>
      </w:r>
      <w:r>
        <w:rPr>
          <w:spacing w:val="-12"/>
        </w:rPr>
        <w:t> </w:t>
      </w:r>
      <w:r>
        <w:rPr/>
        <w:t>réponse,</w:t>
      </w:r>
      <w:r>
        <w:rPr>
          <w:spacing w:val="-11"/>
        </w:rPr>
        <w:t> </w:t>
      </w:r>
      <w:r>
        <w:rPr/>
        <w:t>le</w:t>
      </w:r>
      <w:r>
        <w:rPr>
          <w:spacing w:val="-12"/>
        </w:rPr>
        <w:t> </w:t>
      </w:r>
      <w:r>
        <w:rPr/>
        <w:t>stock- age et l’élimination, pour chaque classe et catégorie de</w:t>
      </w:r>
      <w:r>
        <w:rPr>
          <w:spacing w:val="3"/>
        </w:rPr>
        <w:t> </w:t>
      </w:r>
      <w:r>
        <w:rPr/>
        <w:t>danger.</w:t>
      </w:r>
    </w:p>
    <w:p>
      <w:pPr>
        <w:pStyle w:val="BodyText"/>
        <w:spacing w:before="225"/>
        <w:ind w:right="108"/>
      </w:pPr>
      <w:r>
        <w:rPr/>
        <w:t>Les établissements doivent commencer par réduire l’exposition des collaborateurs par des mesures techniques (aspiration, ventilation, etc.) ou organisationnelles. Si ces mesures ne suffisent pas à ramener l’exposition à un seuil acceptable, les travailleurs devront utiliser un équipement de protection individuelle. Le type d’équipement, ses éléments et leur qualité se- ront adaptés en fonction des risques.</w:t>
      </w:r>
    </w:p>
    <w:p>
      <w:pPr>
        <w:pStyle w:val="BodyText"/>
        <w:spacing w:before="9"/>
        <w:ind w:left="0"/>
        <w:jc w:val="left"/>
        <w:rPr>
          <w:sz w:val="28"/>
        </w:rPr>
      </w:pPr>
    </w:p>
    <w:p>
      <w:pPr>
        <w:pStyle w:val="Heading1"/>
        <w:spacing w:before="1"/>
        <w:ind w:firstLine="0"/>
        <w:jc w:val="both"/>
      </w:pPr>
      <w:r>
        <w:rPr/>
        <w:t>Mesures de protection organisationnelles et techniques</w:t>
      </w:r>
    </w:p>
    <w:p>
      <w:pPr>
        <w:pStyle w:val="BodyText"/>
        <w:spacing w:before="163"/>
        <w:ind w:right="109"/>
      </w:pPr>
      <w:r>
        <w:rPr/>
        <w:t>Le fabricant d'une substance ou d'une préparation chimique doit, conformément à l'art. 20 de l'ordonnance sur les produits chimiques (OChim), indiquer dans la fiche de données de sécu- rité (FDS), à la sous-rubrique 7.1, les précautions à prendre pour garantir une utilisation sans danger.</w:t>
      </w:r>
    </w:p>
    <w:p>
      <w:pPr>
        <w:pStyle w:val="BodyText"/>
        <w:spacing w:before="4"/>
        <w:ind w:left="0"/>
        <w:jc w:val="left"/>
        <w:rPr>
          <w:sz w:val="28"/>
        </w:rPr>
      </w:pPr>
    </w:p>
    <w:p>
      <w:pPr>
        <w:pStyle w:val="BodyText"/>
        <w:ind w:right="108"/>
      </w:pPr>
      <w:r>
        <w:rPr/>
        <w:t>Il</w:t>
      </w:r>
      <w:r>
        <w:rPr>
          <w:spacing w:val="-14"/>
        </w:rPr>
        <w:t> </w:t>
      </w:r>
      <w:r>
        <w:rPr/>
        <w:t>doit</w:t>
      </w:r>
      <w:r>
        <w:rPr>
          <w:spacing w:val="-15"/>
        </w:rPr>
        <w:t> </w:t>
      </w:r>
      <w:r>
        <w:rPr/>
        <w:t>indiquer</w:t>
      </w:r>
      <w:r>
        <w:rPr>
          <w:spacing w:val="-13"/>
        </w:rPr>
        <w:t> </w:t>
      </w:r>
      <w:r>
        <w:rPr/>
        <w:t>les</w:t>
      </w:r>
      <w:r>
        <w:rPr>
          <w:spacing w:val="-15"/>
        </w:rPr>
        <w:t> </w:t>
      </w:r>
      <w:r>
        <w:rPr/>
        <w:t>mesures</w:t>
      </w:r>
      <w:r>
        <w:rPr>
          <w:spacing w:val="-13"/>
        </w:rPr>
        <w:t> </w:t>
      </w:r>
      <w:r>
        <w:rPr/>
        <w:t>de</w:t>
      </w:r>
      <w:r>
        <w:rPr>
          <w:spacing w:val="-13"/>
        </w:rPr>
        <w:t> </w:t>
      </w:r>
      <w:r>
        <w:rPr/>
        <w:t>protection</w:t>
      </w:r>
      <w:r>
        <w:rPr>
          <w:spacing w:val="-14"/>
        </w:rPr>
        <w:t> </w:t>
      </w:r>
      <w:r>
        <w:rPr/>
        <w:t>à</w:t>
      </w:r>
      <w:r>
        <w:rPr>
          <w:spacing w:val="-14"/>
        </w:rPr>
        <w:t> </w:t>
      </w:r>
      <w:r>
        <w:rPr/>
        <w:t>prendre</w:t>
      </w:r>
      <w:r>
        <w:rPr>
          <w:spacing w:val="-14"/>
        </w:rPr>
        <w:t> </w:t>
      </w:r>
      <w:r>
        <w:rPr/>
        <w:t>pour</w:t>
      </w:r>
      <w:r>
        <w:rPr>
          <w:spacing w:val="-11"/>
        </w:rPr>
        <w:t> </w:t>
      </w:r>
      <w:r>
        <w:rPr/>
        <w:t>garantir</w:t>
      </w:r>
      <w:r>
        <w:rPr>
          <w:spacing w:val="-13"/>
        </w:rPr>
        <w:t> </w:t>
      </w:r>
      <w:r>
        <w:rPr/>
        <w:t>une</w:t>
      </w:r>
      <w:r>
        <w:rPr>
          <w:spacing w:val="-11"/>
        </w:rPr>
        <w:t> </w:t>
      </w:r>
      <w:r>
        <w:rPr/>
        <w:t>utilisation</w:t>
      </w:r>
      <w:r>
        <w:rPr>
          <w:spacing w:val="-14"/>
        </w:rPr>
        <w:t> </w:t>
      </w:r>
      <w:r>
        <w:rPr/>
        <w:t>de</w:t>
      </w:r>
      <w:r>
        <w:rPr>
          <w:spacing w:val="-14"/>
        </w:rPr>
        <w:t> </w:t>
      </w:r>
      <w:r>
        <w:rPr/>
        <w:t>la</w:t>
      </w:r>
      <w:r>
        <w:rPr>
          <w:spacing w:val="-14"/>
        </w:rPr>
        <w:t> </w:t>
      </w:r>
      <w:r>
        <w:rPr/>
        <w:t>substance chimique sans</w:t>
      </w:r>
      <w:r>
        <w:rPr>
          <w:spacing w:val="1"/>
        </w:rPr>
        <w:t> </w:t>
      </w:r>
      <w:r>
        <w:rPr/>
        <w:t>danger.</w:t>
      </w:r>
    </w:p>
    <w:p>
      <w:pPr>
        <w:spacing w:after="0"/>
        <w:sectPr>
          <w:headerReference w:type="default" r:id="rId5"/>
          <w:footerReference w:type="default" r:id="rId6"/>
          <w:type w:val="continuous"/>
          <w:pgSz w:w="11910" w:h="16840"/>
          <w:pgMar w:header="720" w:footer="570" w:top="1660" w:bottom="760" w:left="740" w:right="1020"/>
          <w:pgNumType w:start="1"/>
        </w:sectPr>
      </w:pPr>
    </w:p>
    <w:p>
      <w:pPr>
        <w:pStyle w:val="BodyText"/>
        <w:ind w:left="0"/>
        <w:jc w:val="left"/>
        <w:rPr>
          <w:sz w:val="20"/>
        </w:rPr>
      </w:pPr>
    </w:p>
    <w:p>
      <w:pPr>
        <w:pStyle w:val="BodyText"/>
        <w:ind w:left="0"/>
        <w:jc w:val="left"/>
        <w:rPr>
          <w:sz w:val="17"/>
        </w:rPr>
      </w:pPr>
    </w:p>
    <w:p>
      <w:pPr>
        <w:pStyle w:val="Heading1"/>
        <w:spacing w:before="92"/>
        <w:ind w:firstLine="0"/>
        <w:jc w:val="both"/>
      </w:pPr>
      <w:r>
        <w:rPr/>
        <w:t>Mesures de protection individuelle</w:t>
      </w:r>
    </w:p>
    <w:p>
      <w:pPr>
        <w:pStyle w:val="BodyText"/>
        <w:spacing w:before="166"/>
        <w:ind w:right="107"/>
      </w:pPr>
      <w:r>
        <w:rPr/>
        <w:t>Selon l’art. 20 de l’ordonnance sur les produits chimiques (OChim), la fiche de données de sécurité</w:t>
      </w:r>
      <w:r>
        <w:rPr>
          <w:spacing w:val="-11"/>
        </w:rPr>
        <w:t> </w:t>
      </w:r>
      <w:r>
        <w:rPr/>
        <w:t>(FDS)</w:t>
      </w:r>
      <w:r>
        <w:rPr>
          <w:spacing w:val="-11"/>
        </w:rPr>
        <w:t> </w:t>
      </w:r>
      <w:r>
        <w:rPr/>
        <w:t>doit</w:t>
      </w:r>
      <w:r>
        <w:rPr>
          <w:spacing w:val="-10"/>
        </w:rPr>
        <w:t> </w:t>
      </w:r>
      <w:r>
        <w:rPr/>
        <w:t>répondre</w:t>
      </w:r>
      <w:r>
        <w:rPr>
          <w:spacing w:val="-11"/>
        </w:rPr>
        <w:t> </w:t>
      </w:r>
      <w:r>
        <w:rPr/>
        <w:t>aux</w:t>
      </w:r>
      <w:r>
        <w:rPr>
          <w:spacing w:val="-10"/>
        </w:rPr>
        <w:t> </w:t>
      </w:r>
      <w:r>
        <w:rPr/>
        <w:t>exigences</w:t>
      </w:r>
      <w:r>
        <w:rPr>
          <w:spacing w:val="-11"/>
        </w:rPr>
        <w:t> </w:t>
      </w:r>
      <w:r>
        <w:rPr/>
        <w:t>du</w:t>
      </w:r>
      <w:r>
        <w:rPr>
          <w:spacing w:val="-7"/>
        </w:rPr>
        <w:t> </w:t>
      </w:r>
      <w:r>
        <w:rPr/>
        <w:t>règlement</w:t>
      </w:r>
      <w:r>
        <w:rPr>
          <w:spacing w:val="-10"/>
        </w:rPr>
        <w:t> </w:t>
      </w:r>
      <w:r>
        <w:rPr/>
        <w:t>REACH.</w:t>
      </w:r>
      <w:r>
        <w:rPr>
          <w:spacing w:val="-11"/>
        </w:rPr>
        <w:t> </w:t>
      </w:r>
      <w:r>
        <w:rPr/>
        <w:t>L’une</w:t>
      </w:r>
      <w:r>
        <w:rPr>
          <w:spacing w:val="-6"/>
        </w:rPr>
        <w:t> </w:t>
      </w:r>
      <w:r>
        <w:rPr/>
        <w:t>de</w:t>
      </w:r>
      <w:r>
        <w:rPr>
          <w:spacing w:val="-8"/>
        </w:rPr>
        <w:t> </w:t>
      </w:r>
      <w:r>
        <w:rPr/>
        <w:t>ces</w:t>
      </w:r>
      <w:r>
        <w:rPr>
          <w:spacing w:val="-11"/>
        </w:rPr>
        <w:t> </w:t>
      </w:r>
      <w:r>
        <w:rPr/>
        <w:t>exigences</w:t>
      </w:r>
      <w:r>
        <w:rPr>
          <w:spacing w:val="-10"/>
        </w:rPr>
        <w:t> </w:t>
      </w:r>
      <w:r>
        <w:rPr/>
        <w:t>est que les fabricants fournissent, à la rubrique 8 de la FDS, les informations suivantes sur l’équi- pement de protection</w:t>
      </w:r>
      <w:r>
        <w:rPr>
          <w:spacing w:val="-4"/>
        </w:rPr>
        <w:t> </w:t>
      </w:r>
      <w:r>
        <w:rPr/>
        <w:t>individuelle.</w:t>
      </w:r>
    </w:p>
    <w:p>
      <w:pPr>
        <w:pStyle w:val="BodyText"/>
        <w:spacing w:before="9"/>
        <w:ind w:left="0"/>
        <w:jc w:val="left"/>
        <w:rPr>
          <w:sz w:val="28"/>
        </w:rPr>
      </w:pPr>
    </w:p>
    <w:p>
      <w:pPr>
        <w:pStyle w:val="Heading1"/>
        <w:numPr>
          <w:ilvl w:val="0"/>
          <w:numId w:val="1"/>
        </w:numPr>
        <w:tabs>
          <w:tab w:pos="742" w:val="left" w:leader="none"/>
        </w:tabs>
        <w:spacing w:line="240" w:lineRule="auto" w:before="0" w:after="0"/>
        <w:ind w:left="741" w:right="0" w:hanging="270"/>
        <w:jc w:val="left"/>
      </w:pPr>
      <w:r>
        <w:rPr/>
        <w:t>Protection des yeux/du visage</w:t>
      </w:r>
      <w:r>
        <w:rPr>
          <w:spacing w:val="1"/>
        </w:rPr>
        <w:t> </w:t>
      </w:r>
      <w:r>
        <w:rPr/>
        <w:t>:</w:t>
      </w:r>
    </w:p>
    <w:p>
      <w:pPr>
        <w:pStyle w:val="BodyText"/>
        <w:spacing w:before="163"/>
        <w:ind w:right="108"/>
      </w:pPr>
      <w:r>
        <w:rPr/>
        <w:t>Le</w:t>
      </w:r>
      <w:r>
        <w:rPr>
          <w:spacing w:val="-12"/>
        </w:rPr>
        <w:t> </w:t>
      </w:r>
      <w:r>
        <w:rPr/>
        <w:t>type</w:t>
      </w:r>
      <w:r>
        <w:rPr>
          <w:spacing w:val="-8"/>
        </w:rPr>
        <w:t> </w:t>
      </w:r>
      <w:r>
        <w:rPr/>
        <w:t>d'équipement</w:t>
      </w:r>
      <w:r>
        <w:rPr>
          <w:spacing w:val="-14"/>
        </w:rPr>
        <w:t> </w:t>
      </w:r>
      <w:r>
        <w:rPr/>
        <w:t>de</w:t>
      </w:r>
      <w:r>
        <w:rPr>
          <w:spacing w:val="-11"/>
        </w:rPr>
        <w:t> </w:t>
      </w:r>
      <w:r>
        <w:rPr/>
        <w:t>protection</w:t>
      </w:r>
      <w:r>
        <w:rPr>
          <w:spacing w:val="-13"/>
        </w:rPr>
        <w:t> </w:t>
      </w:r>
      <w:r>
        <w:rPr/>
        <w:t>des</w:t>
      </w:r>
      <w:r>
        <w:rPr>
          <w:spacing w:val="-11"/>
        </w:rPr>
        <w:t> </w:t>
      </w:r>
      <w:r>
        <w:rPr/>
        <w:t>yeux/du</w:t>
      </w:r>
      <w:r>
        <w:rPr>
          <w:spacing w:val="-9"/>
        </w:rPr>
        <w:t> </w:t>
      </w:r>
      <w:r>
        <w:rPr/>
        <w:t>visage</w:t>
      </w:r>
      <w:r>
        <w:rPr>
          <w:spacing w:val="-8"/>
        </w:rPr>
        <w:t> </w:t>
      </w:r>
      <w:r>
        <w:rPr/>
        <w:t>doit</w:t>
      </w:r>
      <w:r>
        <w:rPr>
          <w:spacing w:val="-13"/>
        </w:rPr>
        <w:t> </w:t>
      </w:r>
      <w:r>
        <w:rPr/>
        <w:t>être</w:t>
      </w:r>
      <w:r>
        <w:rPr>
          <w:spacing w:val="-11"/>
        </w:rPr>
        <w:t> </w:t>
      </w:r>
      <w:r>
        <w:rPr/>
        <w:t>spécifié</w:t>
      </w:r>
      <w:r>
        <w:rPr>
          <w:spacing w:val="-13"/>
        </w:rPr>
        <w:t> </w:t>
      </w:r>
      <w:r>
        <w:rPr/>
        <w:t>en</w:t>
      </w:r>
      <w:r>
        <w:rPr>
          <w:spacing w:val="-14"/>
        </w:rPr>
        <w:t> </w:t>
      </w:r>
      <w:r>
        <w:rPr/>
        <w:t>fonction</w:t>
      </w:r>
      <w:r>
        <w:rPr>
          <w:spacing w:val="-13"/>
        </w:rPr>
        <w:t> </w:t>
      </w:r>
      <w:r>
        <w:rPr/>
        <w:t>du</w:t>
      </w:r>
      <w:r>
        <w:rPr>
          <w:spacing w:val="-13"/>
        </w:rPr>
        <w:t> </w:t>
      </w:r>
      <w:r>
        <w:rPr/>
        <w:t>danger que présente la substance ou le mélange et du risque de contact. Il peut s'agir, par exemple, de verres de sécurité, de lunettes de protection ou d'un écran</w:t>
      </w:r>
      <w:r>
        <w:rPr>
          <w:spacing w:val="3"/>
        </w:rPr>
        <w:t> </w:t>
      </w:r>
      <w:r>
        <w:rPr/>
        <w:t>facial.</w:t>
      </w:r>
    </w:p>
    <w:p>
      <w:pPr>
        <w:pStyle w:val="BodyText"/>
        <w:spacing w:before="9"/>
        <w:ind w:left="0"/>
        <w:jc w:val="left"/>
        <w:rPr>
          <w:sz w:val="28"/>
        </w:rPr>
      </w:pPr>
    </w:p>
    <w:p>
      <w:pPr>
        <w:pStyle w:val="Heading1"/>
        <w:numPr>
          <w:ilvl w:val="0"/>
          <w:numId w:val="1"/>
        </w:numPr>
        <w:tabs>
          <w:tab w:pos="752" w:val="left" w:leader="none"/>
        </w:tabs>
        <w:spacing w:line="240" w:lineRule="auto" w:before="1" w:after="0"/>
        <w:ind w:left="751" w:right="0" w:hanging="280"/>
        <w:jc w:val="left"/>
      </w:pPr>
      <w:r>
        <w:rPr/>
        <w:t>Protection de la</w:t>
      </w:r>
      <w:r>
        <w:rPr>
          <w:spacing w:val="-1"/>
        </w:rPr>
        <w:t> </w:t>
      </w:r>
      <w:r>
        <w:rPr/>
        <w:t>peau</w:t>
      </w:r>
    </w:p>
    <w:p>
      <w:pPr>
        <w:pStyle w:val="ListParagraph"/>
        <w:numPr>
          <w:ilvl w:val="0"/>
          <w:numId w:val="2"/>
        </w:numPr>
        <w:tabs>
          <w:tab w:pos="299" w:val="left" w:leader="none"/>
        </w:tabs>
        <w:spacing w:line="240" w:lineRule="auto" w:before="160" w:after="0"/>
        <w:ind w:left="298" w:right="0" w:hanging="188"/>
        <w:jc w:val="left"/>
        <w:rPr>
          <w:i/>
          <w:sz w:val="24"/>
        </w:rPr>
      </w:pPr>
      <w:r>
        <w:rPr>
          <w:i/>
          <w:sz w:val="24"/>
        </w:rPr>
        <w:t>Protection des mains</w:t>
      </w:r>
      <w:r>
        <w:rPr>
          <w:i/>
          <w:spacing w:val="2"/>
          <w:sz w:val="24"/>
        </w:rPr>
        <w:t> </w:t>
      </w:r>
      <w:r>
        <w:rPr>
          <w:i/>
          <w:sz w:val="24"/>
        </w:rPr>
        <w:t>:</w:t>
      </w:r>
    </w:p>
    <w:p>
      <w:pPr>
        <w:pStyle w:val="BodyText"/>
        <w:spacing w:before="168"/>
        <w:ind w:right="108"/>
      </w:pPr>
      <w:r>
        <w:rPr/>
        <w:t>Le type de gants à porter lors de la manipulation de la substance ou du mélange doit être spécifié clairement en fonction du danger que présente la substance ou le mélange, du</w:t>
      </w:r>
      <w:r>
        <w:rPr>
          <w:spacing w:val="-46"/>
        </w:rPr>
        <w:t> </w:t>
      </w:r>
      <w:r>
        <w:rPr/>
        <w:t>risque de contact ainsi que de l'importance et de la durée de l'exposition cutanée, y</w:t>
      </w:r>
      <w:r>
        <w:rPr>
          <w:spacing w:val="-6"/>
        </w:rPr>
        <w:t> </w:t>
      </w:r>
      <w:r>
        <w:rPr/>
        <w:t>compris:</w:t>
      </w:r>
    </w:p>
    <w:p>
      <w:pPr>
        <w:pStyle w:val="BodyText"/>
        <w:spacing w:before="5"/>
        <w:ind w:left="0"/>
        <w:jc w:val="left"/>
        <w:rPr>
          <w:sz w:val="28"/>
        </w:rPr>
      </w:pPr>
    </w:p>
    <w:p>
      <w:pPr>
        <w:pStyle w:val="ListParagraph"/>
        <w:numPr>
          <w:ilvl w:val="1"/>
          <w:numId w:val="2"/>
        </w:numPr>
        <w:tabs>
          <w:tab w:pos="832" w:val="left" w:leader="none"/>
        </w:tabs>
        <w:spacing w:line="240" w:lineRule="auto" w:before="0" w:after="0"/>
        <w:ind w:left="832" w:right="0" w:hanging="169"/>
        <w:jc w:val="left"/>
        <w:rPr>
          <w:sz w:val="24"/>
        </w:rPr>
      </w:pPr>
      <w:r>
        <w:rPr>
          <w:sz w:val="24"/>
        </w:rPr>
        <w:t>le type de matière et son</w:t>
      </w:r>
      <w:r>
        <w:rPr>
          <w:spacing w:val="-1"/>
          <w:sz w:val="24"/>
        </w:rPr>
        <w:t> </w:t>
      </w:r>
      <w:r>
        <w:rPr>
          <w:sz w:val="24"/>
        </w:rPr>
        <w:t>épaisseur,</w:t>
      </w:r>
    </w:p>
    <w:p>
      <w:pPr>
        <w:pStyle w:val="ListParagraph"/>
        <w:numPr>
          <w:ilvl w:val="1"/>
          <w:numId w:val="2"/>
        </w:numPr>
        <w:tabs>
          <w:tab w:pos="832" w:val="left" w:leader="none"/>
        </w:tabs>
        <w:spacing w:line="240" w:lineRule="auto" w:before="0" w:after="0"/>
        <w:ind w:left="832" w:right="0" w:hanging="169"/>
        <w:jc w:val="left"/>
        <w:rPr>
          <w:sz w:val="24"/>
        </w:rPr>
      </w:pPr>
      <w:r>
        <w:rPr>
          <w:sz w:val="24"/>
        </w:rPr>
        <w:t>le délai normal ou minimal de rupture de la matière constitutive du gant.</w:t>
      </w:r>
    </w:p>
    <w:p>
      <w:pPr>
        <w:pStyle w:val="BodyText"/>
        <w:spacing w:before="2"/>
        <w:ind w:left="0"/>
        <w:jc w:val="left"/>
      </w:pPr>
    </w:p>
    <w:p>
      <w:pPr>
        <w:pStyle w:val="BodyText"/>
      </w:pPr>
      <w:r>
        <w:rPr/>
        <w:t>Le cas échéant, toute mesure supplémentaire de protection des mains doit être indiquée.</w:t>
      </w:r>
    </w:p>
    <w:p>
      <w:pPr>
        <w:pStyle w:val="BodyText"/>
        <w:spacing w:before="2"/>
        <w:ind w:left="0"/>
        <w:jc w:val="left"/>
        <w:rPr>
          <w:sz w:val="28"/>
        </w:rPr>
      </w:pPr>
    </w:p>
    <w:p>
      <w:pPr>
        <w:pStyle w:val="ListParagraph"/>
        <w:numPr>
          <w:ilvl w:val="0"/>
          <w:numId w:val="2"/>
        </w:numPr>
        <w:tabs>
          <w:tab w:pos="352" w:val="left" w:leader="none"/>
        </w:tabs>
        <w:spacing w:line="240" w:lineRule="auto" w:before="0" w:after="0"/>
        <w:ind w:left="352" w:right="0" w:hanging="241"/>
        <w:jc w:val="left"/>
        <w:rPr>
          <w:i/>
          <w:sz w:val="24"/>
        </w:rPr>
      </w:pPr>
      <w:r>
        <w:rPr>
          <w:i/>
          <w:sz w:val="24"/>
        </w:rPr>
        <w:t>Divers :</w:t>
      </w:r>
    </w:p>
    <w:p>
      <w:pPr>
        <w:pStyle w:val="BodyText"/>
        <w:spacing w:before="168"/>
        <w:ind w:right="109"/>
      </w:pPr>
      <w:r>
        <w:rPr/>
        <w:t>S'il est nécessaire de protéger une partie du corps autre que les mains, il convient de</w:t>
      </w:r>
      <w:r>
        <w:rPr>
          <w:spacing w:val="-46"/>
        </w:rPr>
        <w:t> </w:t>
      </w:r>
      <w:r>
        <w:rPr/>
        <w:t>préciser le type et la qualité de l'équipement de protection requis, par exemple: gants de protection, bottes, combinaison). Le cas échéant, toute mesure supplémentaire de protection de la peau et toute mesure d'hygiène particulière doivent être</w:t>
      </w:r>
      <w:r>
        <w:rPr>
          <w:spacing w:val="-8"/>
        </w:rPr>
        <w:t> </w:t>
      </w:r>
      <w:r>
        <w:rPr/>
        <w:t>indiquées.</w:t>
      </w:r>
    </w:p>
    <w:p>
      <w:pPr>
        <w:pStyle w:val="BodyText"/>
        <w:spacing w:before="10"/>
        <w:ind w:left="0"/>
        <w:jc w:val="left"/>
        <w:rPr>
          <w:sz w:val="28"/>
        </w:rPr>
      </w:pPr>
    </w:p>
    <w:p>
      <w:pPr>
        <w:pStyle w:val="Heading1"/>
        <w:numPr>
          <w:ilvl w:val="0"/>
          <w:numId w:val="1"/>
        </w:numPr>
        <w:tabs>
          <w:tab w:pos="742" w:val="left" w:leader="none"/>
        </w:tabs>
        <w:spacing w:line="240" w:lineRule="auto" w:before="0" w:after="0"/>
        <w:ind w:left="741" w:right="0" w:hanging="270"/>
        <w:jc w:val="left"/>
      </w:pPr>
      <w:r>
        <w:rPr/>
        <w:t>Protection respiratoire</w:t>
      </w:r>
      <w:r>
        <w:rPr>
          <w:spacing w:val="1"/>
        </w:rPr>
        <w:t> </w:t>
      </w:r>
      <w:r>
        <w:rPr/>
        <w:t>:</w:t>
      </w:r>
    </w:p>
    <w:p>
      <w:pPr>
        <w:pStyle w:val="BodyText"/>
        <w:spacing w:before="163"/>
        <w:ind w:right="107"/>
      </w:pPr>
      <w:r>
        <w:rPr/>
        <w:t>Pour la protection contre les gaz, les vapeurs, les brouillards ou les poussières, il convient de spécifier</w:t>
      </w:r>
      <w:r>
        <w:rPr>
          <w:spacing w:val="-8"/>
        </w:rPr>
        <w:t> </w:t>
      </w:r>
      <w:r>
        <w:rPr/>
        <w:t>le</w:t>
      </w:r>
      <w:r>
        <w:rPr>
          <w:spacing w:val="-10"/>
        </w:rPr>
        <w:t> </w:t>
      </w:r>
      <w:r>
        <w:rPr/>
        <w:t>type</w:t>
      </w:r>
      <w:r>
        <w:rPr>
          <w:spacing w:val="-7"/>
        </w:rPr>
        <w:t> </w:t>
      </w:r>
      <w:r>
        <w:rPr/>
        <w:t>d'équipement</w:t>
      </w:r>
      <w:r>
        <w:rPr>
          <w:spacing w:val="-8"/>
        </w:rPr>
        <w:t> </w:t>
      </w:r>
      <w:r>
        <w:rPr/>
        <w:t>à</w:t>
      </w:r>
      <w:r>
        <w:rPr>
          <w:spacing w:val="-8"/>
        </w:rPr>
        <w:t> </w:t>
      </w:r>
      <w:r>
        <w:rPr/>
        <w:t>utiliser</w:t>
      </w:r>
      <w:r>
        <w:rPr>
          <w:spacing w:val="-5"/>
        </w:rPr>
        <w:t> </w:t>
      </w:r>
      <w:r>
        <w:rPr/>
        <w:t>en</w:t>
      </w:r>
      <w:r>
        <w:rPr>
          <w:spacing w:val="-8"/>
        </w:rPr>
        <w:t> </w:t>
      </w:r>
      <w:r>
        <w:rPr/>
        <w:t>fonction</w:t>
      </w:r>
      <w:r>
        <w:rPr>
          <w:spacing w:val="-5"/>
        </w:rPr>
        <w:t> </w:t>
      </w:r>
      <w:r>
        <w:rPr/>
        <w:t>du</w:t>
      </w:r>
      <w:r>
        <w:rPr>
          <w:spacing w:val="-7"/>
        </w:rPr>
        <w:t> </w:t>
      </w:r>
      <w:r>
        <w:rPr/>
        <w:t>danger</w:t>
      </w:r>
      <w:r>
        <w:rPr>
          <w:spacing w:val="-6"/>
        </w:rPr>
        <w:t> </w:t>
      </w:r>
      <w:r>
        <w:rPr/>
        <w:t>et</w:t>
      </w:r>
      <w:r>
        <w:rPr>
          <w:spacing w:val="-8"/>
        </w:rPr>
        <w:t> </w:t>
      </w:r>
      <w:r>
        <w:rPr/>
        <w:t>du</w:t>
      </w:r>
      <w:r>
        <w:rPr>
          <w:spacing w:val="-7"/>
        </w:rPr>
        <w:t> </w:t>
      </w:r>
      <w:r>
        <w:rPr/>
        <w:t>risque</w:t>
      </w:r>
      <w:r>
        <w:rPr>
          <w:spacing w:val="-5"/>
        </w:rPr>
        <w:t> </w:t>
      </w:r>
      <w:r>
        <w:rPr/>
        <w:t>d'exposition,</w:t>
      </w:r>
      <w:r>
        <w:rPr>
          <w:spacing w:val="-6"/>
        </w:rPr>
        <w:t> </w:t>
      </w:r>
      <w:r>
        <w:rPr/>
        <w:t>y</w:t>
      </w:r>
      <w:r>
        <w:rPr>
          <w:spacing w:val="-10"/>
        </w:rPr>
        <w:t> </w:t>
      </w:r>
      <w:r>
        <w:rPr/>
        <w:t>com- pris des appareils respiratoires purificateurs d'air, en précisant l'élément purificateur</w:t>
      </w:r>
      <w:r>
        <w:rPr>
          <w:spacing w:val="-46"/>
        </w:rPr>
        <w:t> </w:t>
      </w:r>
      <w:r>
        <w:rPr/>
        <w:t>approprié (cartouche ou récipient), les filtres à particules appropriés et les masques appropriés (p. ex. quarts</w:t>
      </w:r>
      <w:r>
        <w:rPr>
          <w:spacing w:val="-7"/>
        </w:rPr>
        <w:t> </w:t>
      </w:r>
      <w:r>
        <w:rPr/>
        <w:t>de</w:t>
      </w:r>
      <w:r>
        <w:rPr>
          <w:spacing w:val="-6"/>
        </w:rPr>
        <w:t> </w:t>
      </w:r>
      <w:r>
        <w:rPr/>
        <w:t>masques,</w:t>
      </w:r>
      <w:r>
        <w:rPr>
          <w:spacing w:val="-8"/>
        </w:rPr>
        <w:t> </w:t>
      </w:r>
      <w:r>
        <w:rPr/>
        <w:t>demi-masques,</w:t>
      </w:r>
      <w:r>
        <w:rPr>
          <w:spacing w:val="-6"/>
        </w:rPr>
        <w:t> </w:t>
      </w:r>
      <w:r>
        <w:rPr/>
        <w:t>masques</w:t>
      </w:r>
      <w:r>
        <w:rPr>
          <w:spacing w:val="-6"/>
        </w:rPr>
        <w:t> </w:t>
      </w:r>
      <w:r>
        <w:rPr/>
        <w:t>complets</w:t>
      </w:r>
      <w:r>
        <w:rPr>
          <w:spacing w:val="-3"/>
        </w:rPr>
        <w:t> </w:t>
      </w:r>
      <w:r>
        <w:rPr/>
        <w:t>et</w:t>
      </w:r>
      <w:r>
        <w:rPr>
          <w:spacing w:val="-6"/>
        </w:rPr>
        <w:t> </w:t>
      </w:r>
      <w:r>
        <w:rPr/>
        <w:t>types</w:t>
      </w:r>
      <w:r>
        <w:rPr>
          <w:spacing w:val="-3"/>
        </w:rPr>
        <w:t> </w:t>
      </w:r>
      <w:r>
        <w:rPr/>
        <w:t>de</w:t>
      </w:r>
      <w:r>
        <w:rPr>
          <w:spacing w:val="-7"/>
        </w:rPr>
        <w:t> </w:t>
      </w:r>
      <w:r>
        <w:rPr/>
        <w:t>filtres),</w:t>
      </w:r>
      <w:r>
        <w:rPr>
          <w:spacing w:val="-6"/>
        </w:rPr>
        <w:t> </w:t>
      </w:r>
      <w:r>
        <w:rPr/>
        <w:t>ou</w:t>
      </w:r>
      <w:r>
        <w:rPr>
          <w:spacing w:val="-2"/>
        </w:rPr>
        <w:t> </w:t>
      </w:r>
      <w:r>
        <w:rPr/>
        <w:t>un</w:t>
      </w:r>
      <w:r>
        <w:rPr>
          <w:spacing w:val="-6"/>
        </w:rPr>
        <w:t> </w:t>
      </w:r>
      <w:r>
        <w:rPr/>
        <w:t>appareil</w:t>
      </w:r>
      <w:r>
        <w:rPr>
          <w:spacing w:val="-8"/>
        </w:rPr>
        <w:t> </w:t>
      </w:r>
      <w:r>
        <w:rPr/>
        <w:t>res- piratoire</w:t>
      </w:r>
      <w:r>
        <w:rPr>
          <w:spacing w:val="-1"/>
        </w:rPr>
        <w:t> </w:t>
      </w:r>
      <w:r>
        <w:rPr/>
        <w:t>autonome.</w:t>
      </w:r>
    </w:p>
    <w:p>
      <w:pPr>
        <w:pStyle w:val="BodyText"/>
        <w:spacing w:before="9"/>
        <w:ind w:left="0"/>
        <w:jc w:val="left"/>
        <w:rPr>
          <w:sz w:val="28"/>
        </w:rPr>
      </w:pPr>
    </w:p>
    <w:p>
      <w:pPr>
        <w:pStyle w:val="Heading1"/>
        <w:numPr>
          <w:ilvl w:val="0"/>
          <w:numId w:val="1"/>
        </w:numPr>
        <w:tabs>
          <w:tab w:pos="752" w:val="left" w:leader="none"/>
        </w:tabs>
        <w:spacing w:line="240" w:lineRule="auto" w:before="0" w:after="0"/>
        <w:ind w:left="751" w:right="0" w:hanging="280"/>
        <w:jc w:val="left"/>
      </w:pPr>
      <w:r>
        <w:rPr/>
        <w:t>Risques thermiques</w:t>
      </w:r>
      <w:r>
        <w:rPr>
          <w:spacing w:val="-2"/>
        </w:rPr>
        <w:t> </w:t>
      </w:r>
      <w:r>
        <w:rPr/>
        <w:t>:</w:t>
      </w:r>
    </w:p>
    <w:p>
      <w:pPr>
        <w:pStyle w:val="BodyText"/>
        <w:spacing w:before="164"/>
        <w:ind w:right="108"/>
      </w:pPr>
      <w:r>
        <w:rPr/>
        <w:t>Dans</w:t>
      </w:r>
      <w:r>
        <w:rPr>
          <w:spacing w:val="-11"/>
        </w:rPr>
        <w:t> </w:t>
      </w:r>
      <w:r>
        <w:rPr/>
        <w:t>les</w:t>
      </w:r>
      <w:r>
        <w:rPr>
          <w:spacing w:val="-13"/>
        </w:rPr>
        <w:t> </w:t>
      </w:r>
      <w:r>
        <w:rPr/>
        <w:t>indications</w:t>
      </w:r>
      <w:r>
        <w:rPr>
          <w:spacing w:val="-13"/>
        </w:rPr>
        <w:t> </w:t>
      </w:r>
      <w:r>
        <w:rPr/>
        <w:t>relatives</w:t>
      </w:r>
      <w:r>
        <w:rPr>
          <w:spacing w:val="-13"/>
        </w:rPr>
        <w:t> </w:t>
      </w:r>
      <w:r>
        <w:rPr/>
        <w:t>aux</w:t>
      </w:r>
      <w:r>
        <w:rPr>
          <w:spacing w:val="-13"/>
        </w:rPr>
        <w:t> </w:t>
      </w:r>
      <w:r>
        <w:rPr/>
        <w:t>équipements</w:t>
      </w:r>
      <w:r>
        <w:rPr>
          <w:spacing w:val="-12"/>
        </w:rPr>
        <w:t> </w:t>
      </w:r>
      <w:r>
        <w:rPr/>
        <w:t>à</w:t>
      </w:r>
      <w:r>
        <w:rPr>
          <w:spacing w:val="-13"/>
        </w:rPr>
        <w:t> </w:t>
      </w:r>
      <w:r>
        <w:rPr/>
        <w:t>porter</w:t>
      </w:r>
      <w:r>
        <w:rPr>
          <w:spacing w:val="-11"/>
        </w:rPr>
        <w:t> </w:t>
      </w:r>
      <w:r>
        <w:rPr/>
        <w:t>pour</w:t>
      </w:r>
      <w:r>
        <w:rPr>
          <w:spacing w:val="-18"/>
        </w:rPr>
        <w:t> </w:t>
      </w:r>
      <w:r>
        <w:rPr/>
        <w:t>assurer</w:t>
      </w:r>
      <w:r>
        <w:rPr>
          <w:spacing w:val="-15"/>
        </w:rPr>
        <w:t> </w:t>
      </w:r>
      <w:r>
        <w:rPr/>
        <w:t>une</w:t>
      </w:r>
      <w:r>
        <w:rPr>
          <w:spacing w:val="-11"/>
        </w:rPr>
        <w:t> </w:t>
      </w:r>
      <w:r>
        <w:rPr/>
        <w:t>protection</w:t>
      </w:r>
      <w:r>
        <w:rPr>
          <w:spacing w:val="-11"/>
        </w:rPr>
        <w:t> </w:t>
      </w:r>
      <w:r>
        <w:rPr/>
        <w:t>contre</w:t>
      </w:r>
      <w:r>
        <w:rPr>
          <w:spacing w:val="-15"/>
        </w:rPr>
        <w:t> </w:t>
      </w:r>
      <w:r>
        <w:rPr/>
        <w:t>des matériaux représentant un risque thermique, il importe d'accorder une attention toute particu- lière à la conception de l'équipement de protection individuelle.</w:t>
      </w:r>
    </w:p>
    <w:sectPr>
      <w:pgSz w:w="11910" w:h="16840"/>
      <w:pgMar w:header="720" w:footer="570" w:top="1660" w:bottom="760" w:left="7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41.599998pt;margin-top:802.41217pt;width:182.65pt;height:12.1pt;mso-position-horizontal-relative:page;mso-position-vertical-relative:page;z-index:-251749376" type="#_x0000_t202" filled="false" stroked="false">
          <v:textbox inset="0,0,0,0">
            <w:txbxContent>
              <w:p>
                <w:pPr>
                  <w:spacing w:before="14"/>
                  <w:ind w:left="20" w:right="0" w:firstLine="0"/>
                  <w:jc w:val="left"/>
                  <w:rPr>
                    <w:sz w:val="18"/>
                  </w:rPr>
                </w:pPr>
                <w:r>
                  <w:rPr>
                    <w:sz w:val="18"/>
                  </w:rPr>
                  <w:t>Manuel de la solution de branche ARODEMS</w:t>
                </w:r>
              </w:p>
            </w:txbxContent>
          </v:textbox>
          <w10:wrap type="none"/>
        </v:shape>
      </w:pict>
    </w:r>
    <w:r>
      <w:rPr/>
      <w:pict>
        <v:shape style="position:absolute;margin-left:292.294891pt;margin-top:802.41217pt;width:41.6pt;height:12.1pt;mso-position-horizontal-relative:page;mso-position-vertical-relative:page;z-index:-251748352" type="#_x0000_t202" filled="false" stroked="false">
          <v:textbox inset="0,0,0,0">
            <w:txbxContent>
              <w:p>
                <w:pPr>
                  <w:spacing w:before="14"/>
                  <w:ind w:left="20" w:right="0" w:firstLine="0"/>
                  <w:jc w:val="left"/>
                  <w:rPr>
                    <w:sz w:val="18"/>
                  </w:rPr>
                </w:pPr>
                <w:r>
                  <w:rPr>
                    <w:sz w:val="18"/>
                  </w:rPr>
                  <w:t>page 18</w:t>
                </w:r>
                <w:r>
                  <w:rPr/>
                  <w:fldChar w:fldCharType="begin"/>
                </w:r>
                <w:r>
                  <w:rPr>
                    <w:sz w:val="18"/>
                  </w:rPr>
                  <w:instrText> PAGE </w:instrText>
                </w:r>
                <w:r>
                  <w:rPr/>
                  <w:fldChar w:fldCharType="separate"/>
                </w:r>
                <w:r>
                  <w:rPr/>
                  <w:t>1</w:t>
                </w:r>
                <w:r>
                  <w:rPr/>
                  <w:fldChar w:fldCharType="end"/>
                </w:r>
              </w:p>
            </w:txbxContent>
          </v:textbox>
          <w10:wrap type="none"/>
        </v:shape>
      </w:pict>
    </w:r>
    <w:r>
      <w:rPr/>
      <w:pict>
        <v:shape style="position:absolute;margin-left:461.148804pt;margin-top:802.41217pt;width:78.650pt;height:12.1pt;mso-position-horizontal-relative:page;mso-position-vertical-relative:page;z-index:-251747328" type="#_x0000_t202" filled="false" stroked="false">
          <v:textbox inset="0,0,0,0">
            <w:txbxContent>
              <w:p>
                <w:pPr>
                  <w:spacing w:before="14"/>
                  <w:ind w:left="20" w:right="0" w:firstLine="0"/>
                  <w:jc w:val="left"/>
                  <w:rPr>
                    <w:sz w:val="18"/>
                  </w:rPr>
                </w:pPr>
                <w:r>
                  <w:rPr>
                    <w:sz w:val="18"/>
                  </w:rPr>
                  <w:t>version 01.11.2019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drawing>
        <wp:anchor distT="0" distB="0" distL="0" distR="0" allowOverlap="1" layoutInCell="1" locked="0" behindDoc="1" simplePos="0" relativeHeight="251565056">
          <wp:simplePos x="0" y="0"/>
          <wp:positionH relativeFrom="page">
            <wp:posOffset>541019</wp:posOffset>
          </wp:positionH>
          <wp:positionV relativeFrom="page">
            <wp:posOffset>457200</wp:posOffset>
          </wp:positionV>
          <wp:extent cx="1124712" cy="5471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124712" cy="547115"/>
                  </a:xfrm>
                  <a:prstGeom prst="rect">
                    <a:avLst/>
                  </a:prstGeom>
                </pic:spPr>
              </pic:pic>
            </a:graphicData>
          </a:graphic>
        </wp:anchor>
      </w:drawing>
    </w:r>
    <w:r>
      <w:rPr/>
      <w:drawing>
        <wp:anchor distT="0" distB="0" distL="0" distR="0" allowOverlap="1" layoutInCell="1" locked="0" behindDoc="1" simplePos="0" relativeHeight="251566080">
          <wp:simplePos x="0" y="0"/>
          <wp:positionH relativeFrom="page">
            <wp:posOffset>5105400</wp:posOffset>
          </wp:positionH>
          <wp:positionV relativeFrom="page">
            <wp:posOffset>569975</wp:posOffset>
          </wp:positionV>
          <wp:extent cx="1536191" cy="292607"/>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536191" cy="29260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Roman"/>
      <w:lvlText w:val="%1."/>
      <w:lvlJc w:val="left"/>
      <w:pPr>
        <w:ind w:left="298" w:hanging="187"/>
        <w:jc w:val="left"/>
      </w:pPr>
      <w:rPr>
        <w:rFonts w:hint="default" w:ascii="Arial" w:hAnsi="Arial" w:eastAsia="Arial" w:cs="Arial"/>
        <w:i/>
        <w:spacing w:val="-4"/>
        <w:w w:val="100"/>
        <w:sz w:val="24"/>
        <w:szCs w:val="24"/>
      </w:rPr>
    </w:lvl>
    <w:lvl w:ilvl="1">
      <w:start w:val="0"/>
      <w:numFmt w:val="bullet"/>
      <w:lvlText w:val=""/>
      <w:lvlJc w:val="left"/>
      <w:pPr>
        <w:ind w:left="832" w:hanging="168"/>
      </w:pPr>
      <w:rPr>
        <w:rFonts w:hint="default" w:ascii="Wingdings" w:hAnsi="Wingdings" w:eastAsia="Wingdings" w:cs="Wingdings"/>
        <w:w w:val="99"/>
        <w:sz w:val="20"/>
        <w:szCs w:val="20"/>
      </w:rPr>
    </w:lvl>
    <w:lvl w:ilvl="2">
      <w:start w:val="0"/>
      <w:numFmt w:val="bullet"/>
      <w:lvlText w:val="•"/>
      <w:lvlJc w:val="left"/>
      <w:pPr>
        <w:ind w:left="1874" w:hanging="168"/>
      </w:pPr>
      <w:rPr>
        <w:rFonts w:hint="default"/>
      </w:rPr>
    </w:lvl>
    <w:lvl w:ilvl="3">
      <w:start w:val="0"/>
      <w:numFmt w:val="bullet"/>
      <w:lvlText w:val="•"/>
      <w:lvlJc w:val="left"/>
      <w:pPr>
        <w:ind w:left="2908" w:hanging="168"/>
      </w:pPr>
      <w:rPr>
        <w:rFonts w:hint="default"/>
      </w:rPr>
    </w:lvl>
    <w:lvl w:ilvl="4">
      <w:start w:val="0"/>
      <w:numFmt w:val="bullet"/>
      <w:lvlText w:val="•"/>
      <w:lvlJc w:val="left"/>
      <w:pPr>
        <w:ind w:left="3942" w:hanging="168"/>
      </w:pPr>
      <w:rPr>
        <w:rFonts w:hint="default"/>
      </w:rPr>
    </w:lvl>
    <w:lvl w:ilvl="5">
      <w:start w:val="0"/>
      <w:numFmt w:val="bullet"/>
      <w:lvlText w:val="•"/>
      <w:lvlJc w:val="left"/>
      <w:pPr>
        <w:ind w:left="4976" w:hanging="168"/>
      </w:pPr>
      <w:rPr>
        <w:rFonts w:hint="default"/>
      </w:rPr>
    </w:lvl>
    <w:lvl w:ilvl="6">
      <w:start w:val="0"/>
      <w:numFmt w:val="bullet"/>
      <w:lvlText w:val="•"/>
      <w:lvlJc w:val="left"/>
      <w:pPr>
        <w:ind w:left="6010" w:hanging="168"/>
      </w:pPr>
      <w:rPr>
        <w:rFonts w:hint="default"/>
      </w:rPr>
    </w:lvl>
    <w:lvl w:ilvl="7">
      <w:start w:val="0"/>
      <w:numFmt w:val="bullet"/>
      <w:lvlText w:val="•"/>
      <w:lvlJc w:val="left"/>
      <w:pPr>
        <w:ind w:left="7044" w:hanging="168"/>
      </w:pPr>
      <w:rPr>
        <w:rFonts w:hint="default"/>
      </w:rPr>
    </w:lvl>
    <w:lvl w:ilvl="8">
      <w:start w:val="0"/>
      <w:numFmt w:val="bullet"/>
      <w:lvlText w:val="•"/>
      <w:lvlJc w:val="left"/>
      <w:pPr>
        <w:ind w:left="8078" w:hanging="168"/>
      </w:pPr>
      <w:rPr>
        <w:rFonts w:hint="default"/>
      </w:rPr>
    </w:lvl>
  </w:abstractNum>
  <w:abstractNum w:abstractNumId="0">
    <w:multiLevelType w:val="hybridMultilevel"/>
    <w:lvl w:ilvl="0">
      <w:start w:val="1"/>
      <w:numFmt w:val="lowerLetter"/>
      <w:lvlText w:val="%1."/>
      <w:lvlJc w:val="left"/>
      <w:pPr>
        <w:ind w:left="741" w:hanging="270"/>
        <w:jc w:val="left"/>
      </w:pPr>
      <w:rPr>
        <w:rFonts w:hint="default" w:ascii="Arial" w:hAnsi="Arial" w:eastAsia="Arial" w:cs="Arial"/>
        <w:b/>
        <w:bCs/>
        <w:w w:val="100"/>
        <w:sz w:val="24"/>
        <w:szCs w:val="24"/>
      </w:rPr>
    </w:lvl>
    <w:lvl w:ilvl="1">
      <w:start w:val="0"/>
      <w:numFmt w:val="bullet"/>
      <w:lvlText w:val="•"/>
      <w:lvlJc w:val="left"/>
      <w:pPr>
        <w:ind w:left="1680" w:hanging="270"/>
      </w:pPr>
      <w:rPr>
        <w:rFonts w:hint="default"/>
      </w:rPr>
    </w:lvl>
    <w:lvl w:ilvl="2">
      <w:start w:val="0"/>
      <w:numFmt w:val="bullet"/>
      <w:lvlText w:val="•"/>
      <w:lvlJc w:val="left"/>
      <w:pPr>
        <w:ind w:left="2621" w:hanging="270"/>
      </w:pPr>
      <w:rPr>
        <w:rFonts w:hint="default"/>
      </w:rPr>
    </w:lvl>
    <w:lvl w:ilvl="3">
      <w:start w:val="0"/>
      <w:numFmt w:val="bullet"/>
      <w:lvlText w:val="•"/>
      <w:lvlJc w:val="left"/>
      <w:pPr>
        <w:ind w:left="3561" w:hanging="270"/>
      </w:pPr>
      <w:rPr>
        <w:rFonts w:hint="default"/>
      </w:rPr>
    </w:lvl>
    <w:lvl w:ilvl="4">
      <w:start w:val="0"/>
      <w:numFmt w:val="bullet"/>
      <w:lvlText w:val="•"/>
      <w:lvlJc w:val="left"/>
      <w:pPr>
        <w:ind w:left="4502" w:hanging="270"/>
      </w:pPr>
      <w:rPr>
        <w:rFonts w:hint="default"/>
      </w:rPr>
    </w:lvl>
    <w:lvl w:ilvl="5">
      <w:start w:val="0"/>
      <w:numFmt w:val="bullet"/>
      <w:lvlText w:val="•"/>
      <w:lvlJc w:val="left"/>
      <w:pPr>
        <w:ind w:left="5443" w:hanging="270"/>
      </w:pPr>
      <w:rPr>
        <w:rFonts w:hint="default"/>
      </w:rPr>
    </w:lvl>
    <w:lvl w:ilvl="6">
      <w:start w:val="0"/>
      <w:numFmt w:val="bullet"/>
      <w:lvlText w:val="•"/>
      <w:lvlJc w:val="left"/>
      <w:pPr>
        <w:ind w:left="6383" w:hanging="270"/>
      </w:pPr>
      <w:rPr>
        <w:rFonts w:hint="default"/>
      </w:rPr>
    </w:lvl>
    <w:lvl w:ilvl="7">
      <w:start w:val="0"/>
      <w:numFmt w:val="bullet"/>
      <w:lvlText w:val="•"/>
      <w:lvlJc w:val="left"/>
      <w:pPr>
        <w:ind w:left="7324" w:hanging="270"/>
      </w:pPr>
      <w:rPr>
        <w:rFonts w:hint="default"/>
      </w:rPr>
    </w:lvl>
    <w:lvl w:ilvl="8">
      <w:start w:val="0"/>
      <w:numFmt w:val="bullet"/>
      <w:lvlText w:val="•"/>
      <w:lvlJc w:val="left"/>
      <w:pPr>
        <w:ind w:left="8265" w:hanging="27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111"/>
      <w:jc w:val="both"/>
    </w:pPr>
    <w:rPr>
      <w:rFonts w:ascii="Arial" w:hAnsi="Arial" w:eastAsia="Arial" w:cs="Arial"/>
      <w:sz w:val="24"/>
      <w:szCs w:val="24"/>
    </w:rPr>
  </w:style>
  <w:style w:styleId="Heading1" w:type="paragraph">
    <w:name w:val="Heading 1"/>
    <w:basedOn w:val="Normal"/>
    <w:uiPriority w:val="1"/>
    <w:qFormat/>
    <w:pPr>
      <w:ind w:left="111" w:hanging="280"/>
      <w:outlineLvl w:val="1"/>
    </w:pPr>
    <w:rPr>
      <w:rFonts w:ascii="Arial" w:hAnsi="Arial" w:eastAsia="Arial" w:cs="Arial"/>
      <w:b/>
      <w:bCs/>
      <w:sz w:val="24"/>
      <w:szCs w:val="24"/>
    </w:rPr>
  </w:style>
  <w:style w:styleId="ListParagraph" w:type="paragraph">
    <w:name w:val="List Paragraph"/>
    <w:basedOn w:val="Normal"/>
    <w:uiPriority w:val="1"/>
    <w:qFormat/>
    <w:pPr>
      <w:ind w:left="741" w:hanging="28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cpinget</dc:creator>
  <dc:title>Microsoft Word - 2019 MANUEL SolBra.docx</dc:title>
  <dcterms:created xsi:type="dcterms:W3CDTF">2020-08-06T12:56:32Z</dcterms:created>
  <dcterms:modified xsi:type="dcterms:W3CDTF">2020-08-06T12:56:32Z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2020-08-06T00:00:00Z</vt:filetime>
  </property>
</Properties>
</file>