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tabs>
          <w:tab w:pos="4570" w:val="left" w:leader="none"/>
        </w:tabs>
        <w:spacing w:before="89"/>
        <w:ind w:left="3011" w:right="0" w:firstLine="0"/>
        <w:jc w:val="left"/>
        <w:rPr>
          <w:b/>
          <w:sz w:val="32"/>
        </w:rPr>
      </w:pPr>
      <w:r>
        <w:rPr>
          <w:b/>
          <w:sz w:val="32"/>
        </w:rPr>
        <w:t>9.4.19</w:t>
        <w:tab/>
        <w:t>Symboles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danger</w:t>
      </w:r>
    </w:p>
    <w:p>
      <w:pPr>
        <w:spacing w:before="278"/>
        <w:ind w:left="111" w:right="0" w:firstLine="0"/>
        <w:jc w:val="left"/>
        <w:rPr>
          <w:rFonts w:ascii="Arial Narrow" w:hAnsi="Arial Narrow"/>
          <w:sz w:val="18"/>
        </w:rPr>
      </w:pPr>
      <w:r>
        <w:rPr>
          <w:b/>
          <w:sz w:val="24"/>
        </w:rPr>
        <w:t>Signalisation des substances dangereuses </w:t>
      </w:r>
      <w:r>
        <w:rPr>
          <w:rFonts w:ascii="Arial Narrow" w:hAnsi="Arial Narrow"/>
          <w:sz w:val="18"/>
        </w:rPr>
        <w:t>(SGH, substances depuis 1.12.2012, mélanges depuis 1.6.2015)</w:t>
      </w:r>
    </w:p>
    <w:p>
      <w:pPr>
        <w:pStyle w:val="BodyText"/>
        <w:spacing w:before="5"/>
        <w:rPr>
          <w:rFonts w:ascii="Arial Narrow"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757"/>
        <w:gridCol w:w="6219"/>
      </w:tblGrid>
      <w:tr>
        <w:trPr>
          <w:trHeight w:val="230" w:hRule="atLeast"/>
        </w:trPr>
        <w:tc>
          <w:tcPr>
            <w:tcW w:w="188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Symbole</w:t>
            </w:r>
          </w:p>
        </w:tc>
        <w:tc>
          <w:tcPr>
            <w:tcW w:w="1757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Texte court</w:t>
            </w: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>
        <w:trPr>
          <w:trHeight w:val="1199" w:hRule="atLeast"/>
        </w:trPr>
        <w:tc>
          <w:tcPr>
            <w:tcW w:w="1884" w:type="dxa"/>
          </w:tcPr>
          <w:p>
            <w:pPr>
              <w:pStyle w:val="TableParagraph"/>
              <w:ind w:left="34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757809" cy="757808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09" cy="75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57" w:type="dxa"/>
          </w:tcPr>
          <w:p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Attention dan- gereux</w:t>
            </w:r>
          </w:p>
        </w:tc>
        <w:tc>
          <w:tcPr>
            <w:tcW w:w="621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Le produit nuit à la santé de différentes manières: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irrite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peau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irrite 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yeux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peut déclencher des réactions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allergiques</w:t>
            </w:r>
          </w:p>
        </w:tc>
      </w:tr>
      <w:tr>
        <w:trPr>
          <w:trHeight w:val="1218" w:hRule="atLeast"/>
        </w:trPr>
        <w:tc>
          <w:tcPr>
            <w:tcW w:w="1884" w:type="dxa"/>
          </w:tcPr>
          <w:p>
            <w:pPr>
              <w:pStyle w:val="TableParagraph"/>
              <w:ind w:left="3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791746" cy="762761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46" cy="76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57" w:type="dxa"/>
          </w:tcPr>
          <w:p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Extrêmement inflammable</w:t>
            </w:r>
          </w:p>
        </w:tc>
        <w:tc>
          <w:tcPr>
            <w:tcW w:w="6219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Le produit peut prendre feu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au contact d’une étincelle ou d’une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flamme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75" w:lineRule="exact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en cas de charge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électrostatique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75" w:lineRule="exact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sous l’effet de 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chaleur</w:t>
            </w:r>
          </w:p>
        </w:tc>
      </w:tr>
      <w:tr>
        <w:trPr>
          <w:trHeight w:val="1182" w:hRule="atLeast"/>
        </w:trPr>
        <w:tc>
          <w:tcPr>
            <w:tcW w:w="1884" w:type="dxa"/>
          </w:tcPr>
          <w:p>
            <w:pPr>
              <w:pStyle w:val="TableParagraph"/>
              <w:ind w:left="31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813190" cy="745807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190" cy="745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5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Comburant</w:t>
            </w:r>
          </w:p>
        </w:tc>
        <w:tc>
          <w:tcPr>
            <w:tcW w:w="621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Le produit peut provoquer ou attiser un feu</w:t>
            </w:r>
          </w:p>
        </w:tc>
      </w:tr>
      <w:tr>
        <w:trPr>
          <w:trHeight w:val="1379" w:hRule="atLeast"/>
        </w:trPr>
        <w:tc>
          <w:tcPr>
            <w:tcW w:w="1884" w:type="dxa"/>
          </w:tcPr>
          <w:p>
            <w:pPr>
              <w:pStyle w:val="TableParagraph"/>
              <w:ind w:left="3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788535" cy="806767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5" cy="80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5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Explosif</w:t>
            </w:r>
          </w:p>
        </w:tc>
        <w:tc>
          <w:tcPr>
            <w:tcW w:w="621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Le produit peut exploser: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au contact du feu ou d’une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étincelle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en cas de charge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électrostatique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sous l’effet de 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chaleur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60" w:lineRule="exact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en cas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choc</w:t>
            </w:r>
          </w:p>
        </w:tc>
      </w:tr>
      <w:tr>
        <w:trPr>
          <w:trHeight w:val="1379" w:hRule="atLeast"/>
        </w:trPr>
        <w:tc>
          <w:tcPr>
            <w:tcW w:w="1884" w:type="dxa"/>
          </w:tcPr>
          <w:p>
            <w:pPr>
              <w:pStyle w:val="TableParagraph"/>
              <w:ind w:left="3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791746" cy="762762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46" cy="76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57" w:type="dxa"/>
          </w:tcPr>
          <w:p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Gaz sous pression</w:t>
            </w:r>
          </w:p>
        </w:tc>
        <w:tc>
          <w:tcPr>
            <w:tcW w:w="621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Le produit est un gaz sous pression: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comprimé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liquéfié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dissous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60" w:lineRule="exact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réfrigéré</w:t>
            </w:r>
          </w:p>
        </w:tc>
      </w:tr>
      <w:tr>
        <w:trPr>
          <w:trHeight w:val="1285" w:hRule="atLeast"/>
        </w:trPr>
        <w:tc>
          <w:tcPr>
            <w:tcW w:w="1884" w:type="dxa"/>
          </w:tcPr>
          <w:p>
            <w:pPr>
              <w:pStyle w:val="TableParagraph"/>
              <w:ind w:left="3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788131" cy="797242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131" cy="797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57" w:type="dxa"/>
          </w:tcPr>
          <w:p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Dangereux pour le milieu aquatique</w:t>
            </w:r>
          </w:p>
        </w:tc>
        <w:tc>
          <w:tcPr>
            <w:tcW w:w="621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Le produit peut être dangereux pour le milieu aquatique</w:t>
            </w:r>
          </w:p>
        </w:tc>
      </w:tr>
      <w:tr>
        <w:trPr>
          <w:trHeight w:val="1286" w:hRule="atLeast"/>
        </w:trPr>
        <w:tc>
          <w:tcPr>
            <w:tcW w:w="1884" w:type="dxa"/>
          </w:tcPr>
          <w:p>
            <w:pPr>
              <w:pStyle w:val="TableParagraph"/>
              <w:ind w:left="31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810689" cy="801528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689" cy="80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5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Corrosif</w:t>
            </w:r>
          </w:p>
        </w:tc>
        <w:tc>
          <w:tcPr>
            <w:tcW w:w="621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Le produit peut provoquer de graves brûlures: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en cas de contact avec 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yeux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en cas de contact avec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peau</w:t>
            </w:r>
          </w:p>
        </w:tc>
      </w:tr>
      <w:tr>
        <w:trPr>
          <w:trHeight w:val="1655" w:hRule="atLeast"/>
        </w:trPr>
        <w:tc>
          <w:tcPr>
            <w:tcW w:w="1884" w:type="dxa"/>
          </w:tcPr>
          <w:p>
            <w:pPr>
              <w:pStyle w:val="TableParagraph"/>
              <w:ind w:left="3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793215" cy="802386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15" cy="80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57" w:type="dxa"/>
          </w:tcPr>
          <w:p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Dangereux pour la santé</w:t>
            </w:r>
          </w:p>
        </w:tc>
        <w:tc>
          <w:tcPr>
            <w:tcW w:w="6219" w:type="dxa"/>
          </w:tcPr>
          <w:p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Le produit est susceptible de porter gravement atteinte à la santé: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perte de 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fertilité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altérations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génétiques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cancer, lésions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d’organes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60" w:lineRule="exact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dommage pour le fœtus chez les femmes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enceintes</w:t>
            </w:r>
          </w:p>
        </w:tc>
      </w:tr>
      <w:tr>
        <w:trPr>
          <w:trHeight w:val="1379" w:hRule="atLeast"/>
        </w:trPr>
        <w:tc>
          <w:tcPr>
            <w:tcW w:w="1884" w:type="dxa"/>
          </w:tcPr>
          <w:p>
            <w:pPr>
              <w:pStyle w:val="TableParagraph"/>
              <w:ind w:left="3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791746" cy="762762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46" cy="76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175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Très toxique</w:t>
            </w:r>
          </w:p>
        </w:tc>
        <w:tc>
          <w:tcPr>
            <w:tcW w:w="6219" w:type="dxa"/>
          </w:tcPr>
          <w:p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Même en petites quantités, ce produit peut entraîner la mort ou nuire gravement à la santé: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par ingestion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par contact cutané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2" w:val="left" w:leader="none"/>
              </w:tabs>
              <w:spacing w:line="260" w:lineRule="exact" w:before="0" w:after="0"/>
              <w:ind w:left="251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par inhalation</w:t>
            </w:r>
          </w:p>
        </w:tc>
      </w:tr>
    </w:tbl>
    <w:p>
      <w:pPr>
        <w:pStyle w:val="BodyText"/>
        <w:rPr>
          <w:rFonts w:ascii="Arial Narrow"/>
          <w:sz w:val="26"/>
        </w:rPr>
      </w:pPr>
    </w:p>
    <w:p>
      <w:pPr>
        <w:pStyle w:val="BodyText"/>
        <w:spacing w:before="4"/>
        <w:rPr>
          <w:rFonts w:ascii="Arial Narrow"/>
          <w:sz w:val="34"/>
        </w:rPr>
      </w:pPr>
    </w:p>
    <w:p>
      <w:pPr>
        <w:pStyle w:val="BodyText"/>
        <w:tabs>
          <w:tab w:pos="5125" w:val="left" w:leader="none"/>
          <w:tab w:pos="8502" w:val="left" w:leader="none"/>
        </w:tabs>
        <w:ind w:left="11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2"/>
        </w:rPr>
        <w:t> </w:t>
      </w:r>
      <w:r>
        <w:rPr/>
        <w:t>183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251" w:hanging="147"/>
      </w:pPr>
      <w:rPr>
        <w:rFonts w:hint="default" w:ascii="Arial" w:hAnsi="Arial" w:eastAsia="Arial" w:cs="Arial"/>
        <w:spacing w:val="-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54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9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4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39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4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9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4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19" w:hanging="147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51" w:hanging="147"/>
      </w:pPr>
      <w:rPr>
        <w:rFonts w:hint="default" w:ascii="Arial" w:hAnsi="Arial" w:eastAsia="Arial" w:cs="Arial"/>
        <w:spacing w:val="-4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54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9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4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39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4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9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4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19" w:hanging="14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51" w:hanging="147"/>
      </w:pPr>
      <w:rPr>
        <w:rFonts w:hint="default" w:ascii="Arial" w:hAnsi="Arial" w:eastAsia="Arial" w:cs="Arial"/>
        <w:spacing w:val="-3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54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9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4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39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4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9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4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19" w:hanging="14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51" w:hanging="147"/>
      </w:pPr>
      <w:rPr>
        <w:rFonts w:hint="default" w:ascii="Arial" w:hAnsi="Arial" w:eastAsia="Arial" w:cs="Arial"/>
        <w:spacing w:val="-3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54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9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4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39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4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9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4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19" w:hanging="14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51" w:hanging="147"/>
      </w:pPr>
      <w:rPr>
        <w:rFonts w:hint="default" w:ascii="Arial" w:hAnsi="Arial" w:eastAsia="Arial" w:cs="Arial"/>
        <w:spacing w:val="-4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54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9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4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39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4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9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4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19" w:hanging="147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51" w:hanging="147"/>
      </w:pPr>
      <w:rPr>
        <w:rFonts w:hint="default" w:ascii="Arial" w:hAnsi="Arial" w:eastAsia="Arial" w:cs="Arial"/>
        <w:spacing w:val="-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54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9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4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39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4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9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4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19" w:hanging="14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51" w:hanging="147"/>
      </w:pPr>
      <w:rPr>
        <w:rFonts w:hint="default" w:ascii="Arial" w:hAnsi="Arial" w:eastAsia="Arial" w:cs="Arial"/>
        <w:spacing w:val="-4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54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9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4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39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4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9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4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19" w:hanging="147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5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2020-08-06T12:56:21Z</dcterms:created>
  <dcterms:modified xsi:type="dcterms:W3CDTF">2020-08-06T12:56:21Z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