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00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spacing w:before="89"/>
        <w:ind w:left="1887" w:right="0" w:firstLine="0"/>
        <w:jc w:val="left"/>
        <w:rPr>
          <w:b/>
          <w:sz w:val="32"/>
        </w:rPr>
      </w:pPr>
      <w:r>
        <w:rPr>
          <w:b/>
          <w:sz w:val="32"/>
        </w:rPr>
        <w:t>9.4.3 Harcèlement sexuel sur le lieu de travail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Heading1"/>
        <w:spacing w:before="92"/>
      </w:pPr>
      <w:r>
        <w:rPr/>
        <w:t>Définition</w:t>
      </w:r>
    </w:p>
    <w:p>
      <w:pPr>
        <w:pStyle w:val="BodyText"/>
        <w:rPr>
          <w:b/>
        </w:rPr>
      </w:pPr>
    </w:p>
    <w:p>
      <w:pPr>
        <w:pStyle w:val="BodyText"/>
        <w:ind w:left="111"/>
      </w:pPr>
      <w:r>
        <w:rPr/>
        <w:t>Tout</w:t>
      </w:r>
      <w:r>
        <w:rPr>
          <w:spacing w:val="-10"/>
        </w:rPr>
        <w:t> </w:t>
      </w:r>
      <w:r>
        <w:rPr/>
        <w:t>comportement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rapport</w:t>
      </w:r>
      <w:r>
        <w:rPr>
          <w:spacing w:val="-11"/>
        </w:rPr>
        <w:t> </w:t>
      </w:r>
      <w:r>
        <w:rPr/>
        <w:t>avec</w:t>
      </w:r>
      <w:r>
        <w:rPr>
          <w:spacing w:val="-6"/>
        </w:rPr>
        <w:t> </w:t>
      </w:r>
      <w:r>
        <w:rPr/>
        <w:t>la</w:t>
      </w:r>
      <w:r>
        <w:rPr>
          <w:spacing w:val="-12"/>
        </w:rPr>
        <w:t> </w:t>
      </w:r>
      <w:r>
        <w:rPr/>
        <w:t>sexualité</w:t>
      </w:r>
      <w:r>
        <w:rPr>
          <w:spacing w:val="-6"/>
        </w:rPr>
        <w:t> </w:t>
      </w:r>
      <w:r>
        <w:rPr/>
        <w:t>indésirable</w:t>
      </w:r>
      <w:r>
        <w:rPr>
          <w:spacing w:val="-12"/>
        </w:rPr>
        <w:t> </w:t>
      </w:r>
      <w:r>
        <w:rPr/>
        <w:t>pour</w:t>
      </w:r>
      <w:r>
        <w:rPr>
          <w:spacing w:val="-11"/>
        </w:rPr>
        <w:t> </w:t>
      </w:r>
      <w:r>
        <w:rPr/>
        <w:t>l’entreprise</w:t>
      </w:r>
      <w:r>
        <w:rPr>
          <w:spacing w:val="-11"/>
        </w:rPr>
        <w:t> </w:t>
      </w:r>
      <w:r>
        <w:rPr/>
        <w:t>et/ou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personne concernée fait office de harcèlement sexuel sur le lieu de travail.</w:t>
      </w:r>
    </w:p>
    <w:p>
      <w:pPr>
        <w:pStyle w:val="BodyText"/>
        <w:ind w:left="111"/>
      </w:pPr>
      <w:r>
        <w:rPr/>
        <w:t>La personne harcelante doit savoir que son comportement est indésirable.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Principe</w:t>
      </w:r>
    </w:p>
    <w:p>
      <w:pPr>
        <w:pStyle w:val="BodyText"/>
        <w:rPr>
          <w:b/>
        </w:rPr>
      </w:pPr>
    </w:p>
    <w:p>
      <w:pPr>
        <w:pStyle w:val="BodyText"/>
        <w:ind w:left="111" w:right="108"/>
        <w:jc w:val="both"/>
      </w:pPr>
      <w:r>
        <w:rPr/>
        <w:t>Le harcèlement sexuel sur le lieu de travail est interdit. Cela est ancré dans la loi sur l’égalité (Loi</w:t>
      </w:r>
      <w:r>
        <w:rPr>
          <w:spacing w:val="-9"/>
        </w:rPr>
        <w:t> </w:t>
      </w:r>
      <w:r>
        <w:rPr/>
        <w:t>fédérale</w:t>
      </w:r>
      <w:r>
        <w:rPr>
          <w:spacing w:val="-6"/>
        </w:rPr>
        <w:t> </w:t>
      </w:r>
      <w:r>
        <w:rPr/>
        <w:t>sur</w:t>
      </w:r>
      <w:r>
        <w:rPr>
          <w:spacing w:val="-5"/>
        </w:rPr>
        <w:t> </w:t>
      </w:r>
      <w:r>
        <w:rPr/>
        <w:t>l’égalité</w:t>
      </w:r>
      <w:r>
        <w:rPr>
          <w:spacing w:val="-6"/>
        </w:rPr>
        <w:t> </w:t>
      </w:r>
      <w:r>
        <w:rPr/>
        <w:t>entre</w:t>
      </w:r>
      <w:r>
        <w:rPr>
          <w:spacing w:val="-10"/>
        </w:rPr>
        <w:t> </w:t>
      </w:r>
      <w:r>
        <w:rPr/>
        <w:t>femmes</w:t>
      </w:r>
      <w:r>
        <w:rPr>
          <w:spacing w:val="-4"/>
        </w:rPr>
        <w:t> </w:t>
      </w:r>
      <w:r>
        <w:rPr/>
        <w:t>et</w:t>
      </w:r>
      <w:r>
        <w:rPr>
          <w:spacing w:val="-6"/>
        </w:rPr>
        <w:t> </w:t>
      </w:r>
      <w:r>
        <w:rPr/>
        <w:t>hommes</w:t>
      </w:r>
      <w:r>
        <w:rPr>
          <w:spacing w:val="-7"/>
        </w:rPr>
        <w:t> </w:t>
      </w:r>
      <w:r>
        <w:rPr/>
        <w:t>(LEg),</w:t>
      </w:r>
      <w:r>
        <w:rPr>
          <w:spacing w:val="-8"/>
        </w:rPr>
        <w:t> </w:t>
      </w:r>
      <w:r>
        <w:rPr/>
        <w:t>24</w:t>
      </w:r>
      <w:r>
        <w:rPr>
          <w:spacing w:val="-6"/>
        </w:rPr>
        <w:t> </w:t>
      </w:r>
      <w:r>
        <w:rPr/>
        <w:t>mars</w:t>
      </w:r>
      <w:r>
        <w:rPr>
          <w:spacing w:val="-9"/>
        </w:rPr>
        <w:t> </w:t>
      </w:r>
      <w:r>
        <w:rPr/>
        <w:t>1995,</w:t>
      </w:r>
      <w:r>
        <w:rPr>
          <w:spacing w:val="-3"/>
        </w:rPr>
        <w:t> </w:t>
      </w:r>
      <w:r>
        <w:rPr/>
        <w:t>interdiction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discri- miner art. 3 +</w:t>
      </w:r>
      <w:r>
        <w:rPr>
          <w:spacing w:val="-4"/>
        </w:rPr>
        <w:t> </w:t>
      </w:r>
      <w:r>
        <w:rPr/>
        <w:t>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jc w:val="both"/>
      </w:pPr>
      <w:r>
        <w:rPr/>
        <w:t>Responsabilité et tâches des cadres</w:t>
      </w:r>
    </w:p>
    <w:p>
      <w:pPr>
        <w:pStyle w:val="BodyText"/>
        <w:rPr>
          <w:b/>
        </w:rPr>
      </w:pPr>
    </w:p>
    <w:p>
      <w:pPr>
        <w:pStyle w:val="BodyText"/>
        <w:ind w:left="111" w:right="110"/>
        <w:jc w:val="both"/>
      </w:pPr>
      <w:r>
        <w:rPr/>
        <w:t>Les</w:t>
      </w:r>
      <w:r>
        <w:rPr>
          <w:spacing w:val="-14"/>
        </w:rPr>
        <w:t> </w:t>
      </w:r>
      <w:r>
        <w:rPr/>
        <w:t>cadres</w:t>
      </w:r>
      <w:r>
        <w:rPr>
          <w:spacing w:val="-15"/>
        </w:rPr>
        <w:t> </w:t>
      </w:r>
      <w:r>
        <w:rPr/>
        <w:t>sont</w:t>
      </w:r>
      <w:r>
        <w:rPr>
          <w:spacing w:val="-16"/>
        </w:rPr>
        <w:t> </w:t>
      </w:r>
      <w:r>
        <w:rPr/>
        <w:t>responsables</w:t>
      </w:r>
      <w:r>
        <w:rPr>
          <w:spacing w:val="-15"/>
        </w:rPr>
        <w:t> </w:t>
      </w:r>
      <w:r>
        <w:rPr/>
        <w:t>d’une</w:t>
      </w:r>
      <w:r>
        <w:rPr>
          <w:spacing w:val="-16"/>
        </w:rPr>
        <w:t> </w:t>
      </w:r>
      <w:r>
        <w:rPr/>
        <w:t>gestion</w:t>
      </w:r>
      <w:r>
        <w:rPr>
          <w:spacing w:val="-15"/>
        </w:rPr>
        <w:t> </w:t>
      </w:r>
      <w:r>
        <w:rPr/>
        <w:t>du</w:t>
      </w:r>
      <w:r>
        <w:rPr>
          <w:spacing w:val="-14"/>
        </w:rPr>
        <w:t> </w:t>
      </w:r>
      <w:r>
        <w:rPr/>
        <w:t>personnel</w:t>
      </w:r>
      <w:r>
        <w:rPr>
          <w:spacing w:val="-15"/>
        </w:rPr>
        <w:t> </w:t>
      </w:r>
      <w:r>
        <w:rPr/>
        <w:t>empêchant</w:t>
      </w:r>
      <w:r>
        <w:rPr>
          <w:spacing w:val="-16"/>
        </w:rPr>
        <w:t> </w:t>
      </w:r>
      <w:r>
        <w:rPr/>
        <w:t>tout</w:t>
      </w:r>
      <w:r>
        <w:rPr>
          <w:spacing w:val="-18"/>
        </w:rPr>
        <w:t> </w:t>
      </w:r>
      <w:r>
        <w:rPr/>
        <w:t>harcèlement</w:t>
      </w:r>
      <w:r>
        <w:rPr>
          <w:spacing w:val="-14"/>
        </w:rPr>
        <w:t> </w:t>
      </w:r>
      <w:r>
        <w:rPr/>
        <w:t>sexuel; ils promeuvent un climat de travail correspondant. Les cadres ont en outre l’obligation de s’in- former sur les directives internes en vigueur au sujet du harcèlement sexuel sur le lieu de travail et de communiquer celles-ci à leurs</w:t>
      </w:r>
      <w:r>
        <w:rPr>
          <w:spacing w:val="1"/>
        </w:rPr>
        <w:t> </w:t>
      </w:r>
      <w:r>
        <w:rPr/>
        <w:t>collaborateurs.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jc w:val="both"/>
      </w:pPr>
      <w:r>
        <w:rPr/>
        <w:t>Possibilités pour les collaborateurs concernés</w:t>
      </w:r>
    </w:p>
    <w:p>
      <w:pPr>
        <w:pStyle w:val="BodyText"/>
        <w:rPr>
          <w:b/>
        </w:rPr>
      </w:pPr>
    </w:p>
    <w:p>
      <w:pPr>
        <w:pStyle w:val="BodyText"/>
        <w:ind w:left="111" w:right="107"/>
        <w:jc w:val="both"/>
      </w:pPr>
      <w:r>
        <w:rPr/>
        <w:t>Voie informelle: les personnes concernées peuvent s’adresser à une personne de confiance de leur choix (voir information 9.5) et discuter en toute confidentialité des événements qui se sont produits et des éventuelles démarches à entreprendre. L’objectif est de faire cesser le harcèlement au plus vite. Aucune démarche ne sera entreprise sans l’accord de la personne concernée.</w:t>
      </w:r>
      <w:r>
        <w:rPr>
          <w:spacing w:val="-16"/>
        </w:rPr>
        <w:t> </w:t>
      </w:r>
      <w:r>
        <w:rPr/>
        <w:t>Les</w:t>
      </w:r>
      <w:r>
        <w:rPr>
          <w:spacing w:val="-16"/>
        </w:rPr>
        <w:t> </w:t>
      </w:r>
      <w:r>
        <w:rPr/>
        <w:t>personnes</w:t>
      </w:r>
      <w:r>
        <w:rPr>
          <w:spacing w:val="-16"/>
        </w:rPr>
        <w:t> </w:t>
      </w:r>
      <w:r>
        <w:rPr/>
        <w:t>de</w:t>
      </w:r>
      <w:r>
        <w:rPr>
          <w:spacing w:val="-18"/>
        </w:rPr>
        <w:t> </w:t>
      </w:r>
      <w:r>
        <w:rPr/>
        <w:t>confiance</w:t>
      </w:r>
      <w:r>
        <w:rPr>
          <w:spacing w:val="-16"/>
        </w:rPr>
        <w:t> </w:t>
      </w:r>
      <w:r>
        <w:rPr/>
        <w:t>conseillent</w:t>
      </w:r>
      <w:r>
        <w:rPr>
          <w:spacing w:val="-13"/>
        </w:rPr>
        <w:t> </w:t>
      </w:r>
      <w:r>
        <w:rPr/>
        <w:t>les</w:t>
      </w:r>
      <w:r>
        <w:rPr>
          <w:spacing w:val="-18"/>
        </w:rPr>
        <w:t> </w:t>
      </w:r>
      <w:r>
        <w:rPr/>
        <w:t>personnes</w:t>
      </w:r>
      <w:r>
        <w:rPr>
          <w:spacing w:val="-16"/>
        </w:rPr>
        <w:t> </w:t>
      </w:r>
      <w:r>
        <w:rPr/>
        <w:t>concernées</w:t>
      </w:r>
      <w:r>
        <w:rPr>
          <w:spacing w:val="-19"/>
        </w:rPr>
        <w:t> </w:t>
      </w:r>
      <w:r>
        <w:rPr/>
        <w:t>en</w:t>
      </w:r>
      <w:r>
        <w:rPr>
          <w:spacing w:val="-16"/>
        </w:rPr>
        <w:t> </w:t>
      </w:r>
      <w:r>
        <w:rPr/>
        <w:t>représentant leurs intérêts.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1" w:right="108"/>
        <w:jc w:val="both"/>
      </w:pPr>
      <w:r>
        <w:rPr/>
        <w:t>Voie formelle: les personnes concernées peuvent engager d’elles-mêmes une procédure contre</w:t>
      </w:r>
      <w:r>
        <w:rPr>
          <w:spacing w:val="-12"/>
        </w:rPr>
        <w:t> </w:t>
      </w:r>
      <w:r>
        <w:rPr/>
        <w:t>la</w:t>
      </w:r>
      <w:r>
        <w:rPr>
          <w:spacing w:val="-7"/>
        </w:rPr>
        <w:t> </w:t>
      </w:r>
      <w:r>
        <w:rPr/>
        <w:t>personne</w:t>
      </w:r>
      <w:r>
        <w:rPr>
          <w:spacing w:val="-7"/>
        </w:rPr>
        <w:t> </w:t>
      </w:r>
      <w:r>
        <w:rPr/>
        <w:t>harcelante</w:t>
      </w:r>
      <w:r>
        <w:rPr>
          <w:spacing w:val="-10"/>
        </w:rPr>
        <w:t> </w:t>
      </w:r>
      <w:r>
        <w:rPr/>
        <w:t>(à</w:t>
      </w:r>
      <w:r>
        <w:rPr>
          <w:spacing w:val="-10"/>
        </w:rPr>
        <w:t> </w:t>
      </w:r>
      <w:r>
        <w:rPr/>
        <w:t>savoir,</w:t>
      </w:r>
      <w:r>
        <w:rPr>
          <w:spacing w:val="-11"/>
        </w:rPr>
        <w:t> </w:t>
      </w:r>
      <w:r>
        <w:rPr/>
        <w:t>sans</w:t>
      </w:r>
      <w:r>
        <w:rPr>
          <w:spacing w:val="-11"/>
        </w:rPr>
        <w:t> </w:t>
      </w:r>
      <w:r>
        <w:rPr/>
        <w:t>faire</w:t>
      </w:r>
      <w:r>
        <w:rPr>
          <w:spacing w:val="-10"/>
        </w:rPr>
        <w:t> </w:t>
      </w:r>
      <w:r>
        <w:rPr/>
        <w:t>impliquer</w:t>
      </w:r>
      <w:r>
        <w:rPr>
          <w:spacing w:val="-12"/>
        </w:rPr>
        <w:t> </w:t>
      </w:r>
      <w:r>
        <w:rPr/>
        <w:t>le</w:t>
      </w:r>
      <w:r>
        <w:rPr>
          <w:spacing w:val="-7"/>
        </w:rPr>
        <w:t> </w:t>
      </w:r>
      <w:r>
        <w:rPr/>
        <w:t>supérieur.</w:t>
      </w:r>
      <w:r>
        <w:rPr>
          <w:spacing w:val="-10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voir</w:t>
      </w:r>
      <w:r>
        <w:rPr>
          <w:spacing w:val="-12"/>
        </w:rPr>
        <w:t> </w:t>
      </w:r>
      <w:r>
        <w:rPr/>
        <w:t>9.5). Si la preuve du harcèlement sexuel est apportée dans le cadre de la procédure, les sanctions légales seront</w:t>
      </w:r>
      <w:r>
        <w:rPr>
          <w:spacing w:val="-2"/>
        </w:rPr>
        <w:t> </w:t>
      </w:r>
      <w:r>
        <w:rPr/>
        <w:t>appliquées.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tabs>
          <w:tab w:pos="5268" w:val="left" w:leader="none"/>
          <w:tab w:pos="8501" w:val="left" w:leader="none"/>
        </w:tabs>
        <w:spacing w:before="95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1"/>
          <w:sz w:val="18"/>
        </w:rPr>
        <w:t> </w:t>
      </w:r>
      <w:r>
        <w:rPr>
          <w:sz w:val="18"/>
        </w:rPr>
        <w:t>154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70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2020-08-06T12:54:09Z</dcterms:created>
  <dcterms:modified xsi:type="dcterms:W3CDTF">2020-08-06T12:54:09Z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