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3560" w:right="1106" w:hanging="1450"/>
        <w:jc w:val="left"/>
        <w:rPr>
          <w:b/>
          <w:sz w:val="32"/>
        </w:rPr>
      </w:pPr>
      <w:r>
        <w:rPr>
          <w:b/>
          <w:sz w:val="32"/>
        </w:rPr>
        <w:t>9.4.9 Informations relatives à la protection des jeunes travailleurs</w:t>
      </w:r>
    </w:p>
    <w:p>
      <w:pPr>
        <w:pStyle w:val="BodyText"/>
        <w:spacing w:before="5"/>
        <w:rPr>
          <w:b/>
          <w:sz w:val="48"/>
        </w:rPr>
      </w:pPr>
    </w:p>
    <w:p>
      <w:pPr>
        <w:pStyle w:val="BodyText"/>
        <w:spacing w:line="235" w:lineRule="auto" w:before="1"/>
        <w:ind w:left="111" w:right="108"/>
        <w:jc w:val="both"/>
      </w:pPr>
      <w:r>
        <w:rPr/>
        <w:t>L’Ordonnance 5 relative à la Loi sur le travail (Ordonnance sur la de protection des jeunes travailleurs, OLT 5) règle la protection des jeunes jusqu'à la 18</w:t>
      </w:r>
      <w:r>
        <w:rPr>
          <w:position w:val="8"/>
          <w:sz w:val="16"/>
        </w:rPr>
        <w:t>e </w:t>
      </w:r>
      <w:r>
        <w:rPr/>
        <w:t>année.</w:t>
      </w:r>
    </w:p>
    <w:p>
      <w:pPr>
        <w:pStyle w:val="BodyText"/>
        <w:spacing w:before="1"/>
      </w:pPr>
    </w:p>
    <w:p>
      <w:pPr>
        <w:pStyle w:val="BodyText"/>
        <w:ind w:left="111" w:right="108"/>
        <w:jc w:val="both"/>
      </w:pPr>
      <w:r>
        <w:rPr/>
        <w:t>Cette ordonnance s’applique aux jeunes en formation (également à ceux qui effectuent un stage «découverte»), aux jeunes travailleurs, ainsi qu’à ceux qui travaillent dans leur temps libre pour gagner un peu d’argent de poche.</w:t>
      </w:r>
    </w:p>
    <w:p>
      <w:pPr>
        <w:pStyle w:val="BodyText"/>
      </w:pPr>
    </w:p>
    <w:p>
      <w:pPr>
        <w:pStyle w:val="BodyText"/>
        <w:ind w:left="111" w:right="108"/>
        <w:jc w:val="both"/>
      </w:pPr>
      <w:r>
        <w:rPr/>
        <w:t>Une fois la majorité atteinte, les dispositions usuelles de la Loi sur le travail et de ses ordon- nances sont applicables.</w:t>
      </w:r>
    </w:p>
    <w:p>
      <w:pPr>
        <w:pStyle w:val="BodyText"/>
      </w:pPr>
    </w:p>
    <w:p>
      <w:pPr>
        <w:pStyle w:val="Heading1"/>
      </w:pPr>
      <w:r>
        <w:rPr/>
        <w:t>Interdiction de travailler pour les jeunes &lt; 15 ans</w:t>
      </w:r>
    </w:p>
    <w:p>
      <w:pPr>
        <w:pStyle w:val="BodyText"/>
        <w:rPr>
          <w:b/>
        </w:rPr>
      </w:pPr>
    </w:p>
    <w:p>
      <w:pPr>
        <w:pStyle w:val="BodyText"/>
        <w:ind w:left="111" w:right="110"/>
        <w:jc w:val="both"/>
      </w:pPr>
      <w:r>
        <w:rPr/>
        <w:t>De</w:t>
      </w:r>
      <w:r>
        <w:rPr>
          <w:spacing w:val="-8"/>
        </w:rPr>
        <w:t> </w:t>
      </w:r>
      <w:r>
        <w:rPr/>
        <w:t>manière</w:t>
      </w:r>
      <w:r>
        <w:rPr>
          <w:spacing w:val="-8"/>
        </w:rPr>
        <w:t> </w:t>
      </w:r>
      <w:r>
        <w:rPr/>
        <w:t>générale,</w:t>
      </w:r>
      <w:r>
        <w:rPr>
          <w:spacing w:val="-5"/>
        </w:rPr>
        <w:t> </w:t>
      </w:r>
      <w:r>
        <w:rPr/>
        <w:t>les</w:t>
      </w:r>
      <w:r>
        <w:rPr>
          <w:spacing w:val="-7"/>
        </w:rPr>
        <w:t> </w:t>
      </w:r>
      <w:r>
        <w:rPr/>
        <w:t>jeunes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moins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15</w:t>
      </w:r>
      <w:r>
        <w:rPr>
          <w:spacing w:val="-5"/>
        </w:rPr>
        <w:t> </w:t>
      </w:r>
      <w:r>
        <w:rPr/>
        <w:t>ans</w:t>
      </w:r>
      <w:r>
        <w:rPr>
          <w:spacing w:val="-5"/>
        </w:rPr>
        <w:t> </w:t>
      </w:r>
      <w:r>
        <w:rPr/>
        <w:t>ne</w:t>
      </w:r>
      <w:r>
        <w:rPr>
          <w:spacing w:val="-8"/>
        </w:rPr>
        <w:t> </w:t>
      </w:r>
      <w:r>
        <w:rPr/>
        <w:t>sont</w:t>
      </w:r>
      <w:r>
        <w:rPr>
          <w:spacing w:val="-8"/>
        </w:rPr>
        <w:t> </w:t>
      </w:r>
      <w:r>
        <w:rPr/>
        <w:t>pas</w:t>
      </w:r>
      <w:r>
        <w:rPr>
          <w:spacing w:val="-7"/>
        </w:rPr>
        <w:t> </w:t>
      </w:r>
      <w:r>
        <w:rPr/>
        <w:t>autorisés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travailler.</w:t>
      </w:r>
      <w:r>
        <w:rPr>
          <w:spacing w:val="-7"/>
        </w:rPr>
        <w:t> </w:t>
      </w:r>
      <w:r>
        <w:rPr/>
        <w:t>Excep- tion: à certaines conditions, l’on peut faire appel à des jeunes de moins de 15 ans lors de représentations culturelles, artistiques et</w:t>
      </w:r>
      <w:r>
        <w:rPr>
          <w:spacing w:val="1"/>
        </w:rPr>
        <w:t> </w:t>
      </w:r>
      <w:r>
        <w:rPr/>
        <w:t>sportives.</w:t>
      </w:r>
    </w:p>
    <w:p>
      <w:pPr>
        <w:pStyle w:val="BodyText"/>
      </w:pPr>
    </w:p>
    <w:p>
      <w:pPr>
        <w:pStyle w:val="Heading1"/>
        <w:spacing w:before="1"/>
      </w:pPr>
      <w:r>
        <w:rPr/>
        <w:t>Travaux dangereux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1" w:right="108"/>
        <w:jc w:val="both"/>
      </w:pPr>
      <w:r>
        <w:rPr/>
        <w:t>De manière générale, les travaux dangereux sont interdits pour les jeunes. Des exceptions sont possibles dans le cadre de la formation professionnelle initiale. Les activités sont réper- toriées dans l’«Ordonnance du DEFR sur les travaux dangereux pour les jeunes» du 4 dé- cembre 2007 (p. ex. triage de linge sale et non désinfecté).</w:t>
      </w:r>
    </w:p>
    <w:p>
      <w:pPr>
        <w:pStyle w:val="BodyText"/>
      </w:pPr>
    </w:p>
    <w:p>
      <w:pPr>
        <w:pStyle w:val="Heading1"/>
      </w:pPr>
      <w:r>
        <w:rPr/>
        <w:t>Travail de nuit et du dimanche</w:t>
      </w:r>
    </w:p>
    <w:p>
      <w:pPr>
        <w:pStyle w:val="BodyText"/>
        <w:rPr>
          <w:b/>
        </w:rPr>
      </w:pPr>
    </w:p>
    <w:p>
      <w:pPr>
        <w:pStyle w:val="BodyText"/>
        <w:ind w:left="111" w:right="108"/>
        <w:jc w:val="both"/>
      </w:pPr>
      <w:r>
        <w:rPr/>
        <w:t>Le travail de nuit est uniquement autorisé pour les jeunes de moins de 18 ans s’il est néces- saire afin d’atteindre les objectifs de la formation professionnelle initiale. Les exceptions sont réglées par l’«Ordonnance du DEFR concernant les dérogations à l’interdiction du travail de nuit et du dimanche pendant la formation professionnelle initiale» du 21 avril 2011.</w:t>
      </w:r>
    </w:p>
    <w:p>
      <w:pPr>
        <w:pStyle w:val="BodyText"/>
      </w:pPr>
    </w:p>
    <w:p>
      <w:pPr>
        <w:pStyle w:val="BodyText"/>
        <w:ind w:left="111" w:right="108"/>
        <w:jc w:val="both"/>
      </w:pPr>
      <w:r>
        <w:rPr/>
        <w:t>Dans</w:t>
      </w:r>
      <w:r>
        <w:rPr>
          <w:spacing w:val="-4"/>
        </w:rPr>
        <w:t> </w:t>
      </w:r>
      <w:r>
        <w:rPr/>
        <w:t>les</w:t>
      </w:r>
      <w:r>
        <w:rPr>
          <w:spacing w:val="-9"/>
        </w:rPr>
        <w:t> </w:t>
      </w:r>
      <w:r>
        <w:rPr/>
        <w:t>établissements</w:t>
      </w:r>
      <w:r>
        <w:rPr>
          <w:spacing w:val="-7"/>
        </w:rPr>
        <w:t> </w:t>
      </w:r>
      <w:r>
        <w:rPr/>
        <w:t>médico-sociaux,</w:t>
      </w:r>
      <w:r>
        <w:rPr>
          <w:spacing w:val="-4"/>
        </w:rPr>
        <w:t> </w:t>
      </w:r>
      <w:r>
        <w:rPr/>
        <w:t>il</w:t>
      </w:r>
      <w:r>
        <w:rPr>
          <w:spacing w:val="-9"/>
        </w:rPr>
        <w:t> </w:t>
      </w:r>
      <w:r>
        <w:rPr/>
        <w:t>est</w:t>
      </w:r>
      <w:r>
        <w:rPr>
          <w:spacing w:val="-4"/>
        </w:rPr>
        <w:t> </w:t>
      </w:r>
      <w:r>
        <w:rPr/>
        <w:t>particulièrement</w:t>
      </w:r>
      <w:r>
        <w:rPr>
          <w:spacing w:val="-4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tenir</w:t>
      </w:r>
      <w:r>
        <w:rPr>
          <w:spacing w:val="-7"/>
        </w:rPr>
        <w:t> </w:t>
      </w:r>
      <w:r>
        <w:rPr/>
        <w:t>compte</w:t>
      </w:r>
      <w:r>
        <w:rPr>
          <w:spacing w:val="-7"/>
        </w:rPr>
        <w:t> </w:t>
      </w:r>
      <w:r>
        <w:rPr/>
        <w:t>des articles suivants: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art. 2 pour les professions en économie domestique (intendance, hôtellerie,</w:t>
      </w:r>
      <w:r>
        <w:rPr>
          <w:spacing w:val="-5"/>
          <w:sz w:val="24"/>
        </w:rPr>
        <w:t> </w:t>
      </w:r>
      <w:r>
        <w:rPr>
          <w:sz w:val="24"/>
        </w:rPr>
        <w:t>cuisine)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art. 10 pour les professions du secteur de la santé (ASSC, aide en</w:t>
      </w:r>
      <w:r>
        <w:rPr>
          <w:spacing w:val="-1"/>
          <w:sz w:val="24"/>
        </w:rPr>
        <w:t> </w:t>
      </w:r>
      <w:r>
        <w:rPr>
          <w:sz w:val="24"/>
        </w:rPr>
        <w:t>soins)</w:t>
      </w:r>
    </w:p>
    <w:p>
      <w:pPr>
        <w:pStyle w:val="BodyText"/>
        <w:rPr>
          <w:sz w:val="28"/>
        </w:rPr>
      </w:pPr>
    </w:p>
    <w:p>
      <w:pPr>
        <w:spacing w:before="226"/>
        <w:ind w:left="111" w:right="108" w:firstLine="0"/>
        <w:jc w:val="both"/>
        <w:rPr>
          <w:sz w:val="24"/>
        </w:rPr>
      </w:pPr>
      <w:r>
        <w:rPr>
          <w:b/>
          <w:sz w:val="24"/>
        </w:rPr>
        <w:t>Remarque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relative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l’apprentissage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professionnel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(avec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contrat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d’apprentissage):</w:t>
      </w:r>
      <w:r>
        <w:rPr>
          <w:b/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Loi sur la protection des jeunes travailleurs est automatiquement respectée en cas de formation conforme au plan de</w:t>
      </w:r>
      <w:r>
        <w:rPr>
          <w:spacing w:val="-1"/>
          <w:sz w:val="24"/>
        </w:rPr>
        <w:t> </w:t>
      </w:r>
      <w:r>
        <w:rPr>
          <w:sz w:val="24"/>
        </w:rPr>
        <w:t>formation.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tabs>
          <w:tab w:pos="5268" w:val="left" w:leader="none"/>
          <w:tab w:pos="8501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164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2020-08-06T12:52:39Z</dcterms:created>
  <dcterms:modified xsi:type="dcterms:W3CDTF">2020-08-06T12:52:39Z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