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FA87" w14:textId="69605344" w:rsidR="001261F9" w:rsidRPr="00B85C30" w:rsidRDefault="00EB6861" w:rsidP="00B019F8">
      <w:pPr>
        <w:pStyle w:val="Titre"/>
        <w:spacing w:before="240" w:after="240"/>
        <w:contextualSpacing w:val="0"/>
        <w:rPr>
          <w:rFonts w:ascii="Arial" w:hAnsi="Arial" w:cs="Arial"/>
          <w:b/>
          <w:bCs/>
          <w:sz w:val="30"/>
          <w:szCs w:val="30"/>
          <w:lang w:val="en-US"/>
        </w:rPr>
      </w:pPr>
      <w:r w:rsidRPr="00B85C30">
        <w:rPr>
          <w:rFonts w:ascii="Arial" w:hAnsi="Arial" w:cs="Arial"/>
          <w:b/>
          <w:bCs/>
          <w:sz w:val="30"/>
          <w:szCs w:val="30"/>
          <w:lang w:val="en-US"/>
        </w:rPr>
        <w:t>CONCEPT DE PLAN D’URGENCE</w:t>
      </w:r>
    </w:p>
    <w:p w14:paraId="693979BE" w14:textId="7B986312" w:rsidR="00B85C30" w:rsidRPr="00B85C30" w:rsidRDefault="00EB6861" w:rsidP="00B019F8">
      <w:r w:rsidRPr="00B85C30">
        <w:t>Ce document est un support aidant à l’établissement d’un plan d’urgence. Il reprend les différentes thématiques devant être intégrées</w:t>
      </w:r>
      <w:r w:rsidR="00B85C30" w:rsidRPr="00B85C30">
        <w:t xml:space="preserve"> et peut servir de base de travail ou guide d’inspiration pour l’établissement du dit plan.</w:t>
      </w:r>
    </w:p>
    <w:p w14:paraId="2F206A62" w14:textId="685EBE31" w:rsidR="00EB6861" w:rsidRDefault="00EB6861" w:rsidP="00B019F8">
      <w:r w:rsidRPr="00B85C30">
        <w:t>Pour certains chapitres, le but de celui-ci et/ou un exemple concret sont fournis (situationnel, bonnes pratiques ou autre)</w:t>
      </w:r>
      <w:r w:rsidR="00B85C30" w:rsidRPr="00B85C30">
        <w:t>.</w:t>
      </w:r>
    </w:p>
    <w:p w14:paraId="2CD8E783" w14:textId="77777777" w:rsidR="00795465" w:rsidRPr="00B85C30" w:rsidRDefault="00795465" w:rsidP="00795465">
      <w:r w:rsidRPr="00B85C30">
        <w:t>Les plans de continuités ne faisant pas partie du plan d’urgence, ils doivent être traités au travers de documents propres.</w:t>
      </w:r>
    </w:p>
    <w:p w14:paraId="18365EDD" w14:textId="77777777" w:rsidR="00795465" w:rsidRPr="00B85C30" w:rsidRDefault="00795465" w:rsidP="00795465">
      <w:r w:rsidRPr="00B85C30">
        <w:t>Si des spécificités diffèrent d’un site à l’autre, le plan d’urgence doit intégrer ces spécificités (par exemple : annexes spécifiques).</w:t>
      </w:r>
    </w:p>
    <w:p w14:paraId="0B2A59F9" w14:textId="2BDA0935" w:rsidR="00EB6861" w:rsidRPr="00B85C30" w:rsidRDefault="00EB6861" w:rsidP="00B019F8">
      <w:pPr>
        <w:pStyle w:val="Titre1"/>
        <w:spacing w:after="120"/>
        <w:ind w:left="0"/>
        <w:rPr>
          <w:rStyle w:val="Accentuationintense"/>
          <w:i w:val="0"/>
          <w:iCs w:val="0"/>
          <w:color w:val="auto"/>
          <w:sz w:val="22"/>
          <w:szCs w:val="22"/>
        </w:rPr>
      </w:pPr>
      <w:r w:rsidRPr="00B85C30">
        <w:rPr>
          <w:sz w:val="22"/>
          <w:szCs w:val="22"/>
        </w:rPr>
        <w:t>Contrôle qualité du document</w:t>
      </w:r>
    </w:p>
    <w:p w14:paraId="72CA55C8" w14:textId="0C559919" w:rsidR="00EB6861" w:rsidRPr="00B85C30" w:rsidRDefault="00EB6861" w:rsidP="00B019F8">
      <w:r w:rsidRPr="00B85C30">
        <w:t xml:space="preserve">Le plan d’urgence doit être intégré au processus qualité de votre structure. Dans ce chapitre, vous devez garantir la validité du plan, sa relecture, son suivi et sa diffusion auprès du personnel. </w:t>
      </w:r>
    </w:p>
    <w:p w14:paraId="4820741E" w14:textId="165370D9" w:rsidR="00EB6861" w:rsidRPr="00B85C30" w:rsidRDefault="00EB6861" w:rsidP="00B019F8">
      <w:r w:rsidRPr="00B85C30">
        <w:t xml:space="preserve">Le plan est rédigé sur mandat de la </w:t>
      </w:r>
      <w:r w:rsidR="00B85C30">
        <w:t>d</w:t>
      </w:r>
      <w:r w:rsidRPr="00B85C30">
        <w:t xml:space="preserve">irection par le chargé de sécurité AEAI et le responsable qualité. </w:t>
      </w:r>
    </w:p>
    <w:p w14:paraId="201387C1" w14:textId="51539ED8" w:rsidR="00EB6861" w:rsidRPr="00B85C30" w:rsidRDefault="00EB6861" w:rsidP="00B019F8">
      <w:r w:rsidRPr="00B85C30">
        <w:t>Toute modification doit suivre le processus qualité de l</w:t>
      </w:r>
      <w:r w:rsidR="00B85C30">
        <w:t xml:space="preserve">’établissement </w:t>
      </w:r>
      <w:r w:rsidRPr="00B85C30">
        <w:t>afin d’assurer sa mise à jour. Les modifications sont vérifiées par un bureau d’expertise spécialisé si nécessaire.</w:t>
      </w:r>
    </w:p>
    <w:p w14:paraId="284BBD53" w14:textId="34506D79" w:rsidR="00EB6861" w:rsidRPr="00B85C30" w:rsidRDefault="00EB6861" w:rsidP="00B019F8">
      <w:r w:rsidRPr="00B85C30">
        <w:t xml:space="preserve">Ce plan est diffusé auprès du personnel via le manuel qualité, la GED, etc. Selon le besoin, </w:t>
      </w:r>
      <w:r w:rsidR="00B85C30" w:rsidRPr="00B85C30">
        <w:t>une formation</w:t>
      </w:r>
      <w:r w:rsidRPr="00B85C30">
        <w:t xml:space="preserve"> est </w:t>
      </w:r>
      <w:r w:rsidR="00B85C30">
        <w:t xml:space="preserve">donnée au </w:t>
      </w:r>
      <w:r w:rsidRPr="00B85C30">
        <w:t>personnel concerné selon les processus de formation.</w:t>
      </w:r>
    </w:p>
    <w:p w14:paraId="7CAAD431" w14:textId="2760247F" w:rsidR="00EB6861" w:rsidRPr="00B85C30" w:rsidRDefault="00EB6861" w:rsidP="00B019F8">
      <w:pPr>
        <w:pStyle w:val="Titre1"/>
        <w:spacing w:after="120"/>
        <w:ind w:left="0"/>
        <w:rPr>
          <w:sz w:val="22"/>
          <w:szCs w:val="22"/>
        </w:rPr>
      </w:pPr>
      <w:r w:rsidRPr="00B85C30">
        <w:rPr>
          <w:sz w:val="22"/>
          <w:szCs w:val="22"/>
        </w:rPr>
        <w:t>Contexte</w:t>
      </w:r>
    </w:p>
    <w:p w14:paraId="23E8DB51" w14:textId="77777777" w:rsidR="00EB6861" w:rsidRPr="00B85C30" w:rsidRDefault="00EB6861" w:rsidP="00B019F8">
      <w:r w:rsidRPr="00B85C30">
        <w:t>Poser le cadre légal, les obligations de l’employeur, de l’employé, ainsi que les objectifs du plan d’urgence.</w:t>
      </w:r>
    </w:p>
    <w:p w14:paraId="37328718" w14:textId="738B612E" w:rsidR="00EB6861" w:rsidRPr="00B85C30" w:rsidRDefault="00EB6861" w:rsidP="00B019F8">
      <w:pPr>
        <w:pStyle w:val="Titre2"/>
        <w:contextualSpacing w:val="0"/>
      </w:pPr>
      <w:r w:rsidRPr="00B85C30">
        <w:t xml:space="preserve">Cadre légal </w:t>
      </w:r>
    </w:p>
    <w:p w14:paraId="2875874D" w14:textId="4DAC7312" w:rsidR="00EB6861" w:rsidRPr="00B85C30" w:rsidRDefault="00B85C30" w:rsidP="00B019F8">
      <w:pPr>
        <w:pStyle w:val="Titre3"/>
        <w:spacing w:before="120" w:after="120"/>
        <w:rPr>
          <w:rFonts w:ascii="Arial" w:hAnsi="Arial" w:cs="Arial"/>
          <w:color w:val="auto"/>
          <w:sz w:val="22"/>
          <w:szCs w:val="22"/>
          <w:u w:val="single"/>
        </w:rPr>
      </w:pPr>
      <w:r w:rsidRPr="00B85C30">
        <w:rPr>
          <w:rFonts w:ascii="Arial" w:hAnsi="Arial" w:cs="Arial"/>
          <w:color w:val="auto"/>
          <w:sz w:val="22"/>
          <w:szCs w:val="22"/>
          <w:u w:val="single"/>
        </w:rPr>
        <w:t>Prescriptions principales</w:t>
      </w:r>
    </w:p>
    <w:p w14:paraId="3FD457CF" w14:textId="328989E2" w:rsidR="00EB6861" w:rsidRPr="00B85C30" w:rsidRDefault="00EB6861" w:rsidP="00B019F8">
      <w:r w:rsidRPr="00B85C30">
        <w:t>CO, LTr</w:t>
      </w:r>
      <w:r w:rsidR="00B85C30">
        <w:t xml:space="preserve">, </w:t>
      </w:r>
      <w:r w:rsidRPr="00B85C30">
        <w:t>OLT, LAA</w:t>
      </w:r>
      <w:r w:rsidR="00B85C30">
        <w:t xml:space="preserve">, </w:t>
      </w:r>
      <w:r w:rsidRPr="00B85C30">
        <w:t>OPA, Directive CFST 6508 et les normes et directives AEAI pour l’incendie.</w:t>
      </w:r>
    </w:p>
    <w:p w14:paraId="50397AF0" w14:textId="435D4869" w:rsidR="00EB6861" w:rsidRPr="00B85C30" w:rsidRDefault="00EB6861" w:rsidP="00B019F8">
      <w:pPr>
        <w:pStyle w:val="Titre3"/>
        <w:spacing w:before="120" w:after="120"/>
        <w:rPr>
          <w:rFonts w:ascii="Arial" w:hAnsi="Arial" w:cs="Arial"/>
          <w:color w:val="auto"/>
          <w:sz w:val="22"/>
          <w:szCs w:val="22"/>
          <w:u w:val="single"/>
        </w:rPr>
      </w:pPr>
      <w:r w:rsidRPr="00B85C30">
        <w:rPr>
          <w:rFonts w:ascii="Arial" w:hAnsi="Arial" w:cs="Arial"/>
          <w:color w:val="auto"/>
          <w:sz w:val="22"/>
          <w:szCs w:val="22"/>
          <w:u w:val="single"/>
        </w:rPr>
        <w:t>Autres prescriptions pertinentes</w:t>
      </w:r>
    </w:p>
    <w:p w14:paraId="482E21C1" w14:textId="609E1B49" w:rsidR="00EB6861" w:rsidRPr="00B85C30" w:rsidRDefault="00EB6861" w:rsidP="00B019F8">
      <w:pPr>
        <w:pStyle w:val="Paragraphedeliste"/>
        <w:numPr>
          <w:ilvl w:val="0"/>
          <w:numId w:val="26"/>
        </w:numPr>
      </w:pPr>
      <w:r w:rsidRPr="00B85C30">
        <w:t>Loi sur la protection de l’environnement (LPE, RS 814.01) : protection contre nuisances (bruit, substances, air)</w:t>
      </w:r>
      <w:r w:rsidR="00B85C30">
        <w:t> ;</w:t>
      </w:r>
    </w:p>
    <w:p w14:paraId="2CD1B76A" w14:textId="2EFE04F6" w:rsidR="00EB6861" w:rsidRPr="00B85C30" w:rsidRDefault="00EB6861" w:rsidP="00B019F8">
      <w:pPr>
        <w:pStyle w:val="Paragraphedeliste"/>
        <w:numPr>
          <w:ilvl w:val="0"/>
          <w:numId w:val="26"/>
        </w:numPr>
      </w:pPr>
      <w:r w:rsidRPr="00B85C30">
        <w:t>Ordonnance sur la protection des jeunes travailleurs (OLT 5, RS 822.115) : limitations spécifiques pour les jeunes en formation</w:t>
      </w:r>
      <w:r w:rsidR="00B85C30">
        <w:t> ;</w:t>
      </w:r>
    </w:p>
    <w:p w14:paraId="0476303C" w14:textId="49C69BA8" w:rsidR="00EB6861" w:rsidRPr="00B85C30" w:rsidRDefault="00EB6861" w:rsidP="00B019F8">
      <w:pPr>
        <w:pStyle w:val="Paragraphedeliste"/>
        <w:numPr>
          <w:ilvl w:val="0"/>
          <w:numId w:val="26"/>
        </w:numPr>
      </w:pPr>
      <w:r w:rsidRPr="00B85C30">
        <w:t>Ordonnance sur la protection de la maternité (OProMa, RS 822.111.52) : mesures spécifiques pour femmes enceintes</w:t>
      </w:r>
      <w:r w:rsidR="00B85C30">
        <w:t> ;</w:t>
      </w:r>
    </w:p>
    <w:p w14:paraId="45250F4A" w14:textId="59860F4D" w:rsidR="00EB6861" w:rsidRPr="00B85C30" w:rsidRDefault="00EB6861" w:rsidP="00B019F8">
      <w:pPr>
        <w:pStyle w:val="Paragraphedeliste"/>
        <w:numPr>
          <w:ilvl w:val="0"/>
          <w:numId w:val="26"/>
        </w:numPr>
      </w:pPr>
      <w:r w:rsidRPr="00B85C30">
        <w:t>Normes SUVA et recommandations techniques : non légales en soi, mais considérées comme standards minimaux reconnus.</w:t>
      </w:r>
    </w:p>
    <w:p w14:paraId="39C86B24" w14:textId="5465E4E4" w:rsidR="00EB6861" w:rsidRPr="00B85C30" w:rsidRDefault="00EB6861" w:rsidP="00B019F8">
      <w:pPr>
        <w:pStyle w:val="Titre3"/>
        <w:spacing w:before="120" w:after="120"/>
        <w:rPr>
          <w:rFonts w:ascii="Arial" w:hAnsi="Arial" w:cs="Arial"/>
          <w:b/>
          <w:bCs/>
          <w:color w:val="auto"/>
          <w:sz w:val="22"/>
          <w:szCs w:val="22"/>
        </w:rPr>
      </w:pPr>
      <w:r w:rsidRPr="00B85C30">
        <w:rPr>
          <w:rFonts w:ascii="Arial" w:hAnsi="Arial" w:cs="Arial"/>
          <w:b/>
          <w:bCs/>
          <w:color w:val="auto"/>
          <w:sz w:val="22"/>
          <w:szCs w:val="22"/>
        </w:rPr>
        <w:t>Objectifs du plan d’urgence</w:t>
      </w:r>
    </w:p>
    <w:p w14:paraId="58C31513" w14:textId="77777777" w:rsidR="00EB6861" w:rsidRPr="00B85C30" w:rsidRDefault="00EB6861" w:rsidP="00B019F8">
      <w:pPr>
        <w:rPr>
          <w:rStyle w:val="Accentuationintense"/>
          <w:i w:val="0"/>
          <w:iCs w:val="0"/>
          <w:color w:val="auto"/>
          <w:u w:val="single"/>
        </w:rPr>
      </w:pPr>
      <w:r w:rsidRPr="00B85C30">
        <w:rPr>
          <w:rStyle w:val="Accentuationintense"/>
          <w:i w:val="0"/>
          <w:iCs w:val="0"/>
          <w:color w:val="auto"/>
          <w:u w:val="single"/>
        </w:rPr>
        <w:t xml:space="preserve">Exemple </w:t>
      </w:r>
    </w:p>
    <w:p w14:paraId="4F0C614E" w14:textId="7570C4C1" w:rsidR="00B85C30" w:rsidRDefault="00B85C30" w:rsidP="00B019F8">
      <w:r>
        <w:t>« </w:t>
      </w:r>
      <w:r w:rsidR="00EB6861" w:rsidRPr="00B85C30">
        <w:t xml:space="preserve">La sécurité repose sur l’ensemble des mesures mises en place pour protéger les infrastructures, les </w:t>
      </w:r>
      <w:r w:rsidR="00EB6861" w:rsidRPr="00B85C30">
        <w:lastRenderedPageBreak/>
        <w:t xml:space="preserve">personnes et les biens. Ces mesures se basent sur les prescriptions légales ainsi que sur toutes les mesures dont l’expérience a démontré la nécessité, que l’état de la technique permet d’appliquer et qui sont adaptées aux conditions données. </w:t>
      </w:r>
      <w:r w:rsidRPr="00B85C30">
        <w:t>La</w:t>
      </w:r>
      <w:r w:rsidR="00EB6861" w:rsidRPr="00B85C30">
        <w:t xml:space="preserve"> mise en œuvre de celles-ci repose sur les dispositifs constructifs et techniques des bâtiments, les procédures organisationnelles et les comportements attendus de la part des collaborateurs. Ces derniers doivent être instruits et intégrés dans le suivi des formations et l’élaboration du plan.</w:t>
      </w:r>
      <w:r>
        <w:t> »</w:t>
      </w:r>
    </w:p>
    <w:p w14:paraId="28FDBA4A" w14:textId="77777777" w:rsidR="00EB6861" w:rsidRPr="00B019F8" w:rsidRDefault="00EB6861" w:rsidP="00B019F8">
      <w:pPr>
        <w:rPr>
          <w:b/>
          <w:bCs/>
        </w:rPr>
      </w:pPr>
      <w:r w:rsidRPr="00B019F8">
        <w:rPr>
          <w:b/>
          <w:bCs/>
        </w:rPr>
        <w:t>Les thématiques minimales abordées dans le plan d’urgence sont :</w:t>
      </w:r>
    </w:p>
    <w:p w14:paraId="28E07144" w14:textId="3DF39EDC" w:rsidR="00EB6861" w:rsidRPr="00F75B42" w:rsidRDefault="00EB6861" w:rsidP="00B019F8">
      <w:pPr>
        <w:rPr>
          <w:b/>
          <w:bCs/>
        </w:rPr>
      </w:pPr>
      <w:r w:rsidRPr="00F75B42">
        <w:rPr>
          <w:b/>
          <w:bCs/>
        </w:rPr>
        <w:t>Organisation des premiers secours</w:t>
      </w:r>
    </w:p>
    <w:p w14:paraId="410819E5" w14:textId="2234636B" w:rsidR="00F75B42" w:rsidRPr="00F75B42" w:rsidRDefault="00F75B42" w:rsidP="00B019F8">
      <w:pPr>
        <w:pStyle w:val="Titre2"/>
        <w:contextualSpacing w:val="0"/>
      </w:pPr>
      <w:r w:rsidRPr="00F75B42">
        <w:t xml:space="preserve">Mesures </w:t>
      </w:r>
      <w:r>
        <w:t>c</w:t>
      </w:r>
      <w:r w:rsidRPr="00F75B42">
        <w:t>onstructives</w:t>
      </w:r>
      <w:r w:rsidRPr="00F75B42">
        <w:t> : d</w:t>
      </w:r>
      <w:r w:rsidRPr="00F75B42">
        <w:t>éfinir s’il y a un local dédié pour les premiers secours</w:t>
      </w:r>
    </w:p>
    <w:p w14:paraId="2E1B10CB" w14:textId="14DC9CCA" w:rsidR="00F75B42" w:rsidRPr="00F75B42" w:rsidRDefault="00F75B42" w:rsidP="00B019F8">
      <w:pPr>
        <w:pStyle w:val="Titre2"/>
        <w:contextualSpacing w:val="0"/>
      </w:pPr>
      <w:r w:rsidRPr="00F75B42">
        <w:t>Mesures techniques</w:t>
      </w:r>
      <w:r>
        <w:t> : q</w:t>
      </w:r>
      <w:r w:rsidRPr="00F75B42">
        <w:t>uel matériel est à disposition des secouristes (pharmacie, défibrillateurs, brancards, etc.) et est-il stocké</w:t>
      </w:r>
    </w:p>
    <w:p w14:paraId="7A68EE93" w14:textId="7696B53C" w:rsidR="00F75B42" w:rsidRPr="00B85C30" w:rsidRDefault="00F75B42" w:rsidP="00B019F8">
      <w:pPr>
        <w:pStyle w:val="Titre2"/>
        <w:contextualSpacing w:val="0"/>
      </w:pPr>
      <w:r w:rsidRPr="00F75B42">
        <w:t>Mesures organisationnelles</w:t>
      </w:r>
      <w:r>
        <w:t xml:space="preserve"> : </w:t>
      </w:r>
      <w:r w:rsidRPr="00F75B42">
        <w:t>q</w:t>
      </w:r>
      <w:r w:rsidRPr="00F75B42">
        <w:t>uel est le niveau de formation des secouristes, combien sont-ils (cf. OLT3 art. 36), par quels moyens sont-ils alertés, etc. ?</w:t>
      </w:r>
      <w:r>
        <w:t xml:space="preserve"> </w:t>
      </w:r>
      <w:r w:rsidRPr="00F75B42">
        <w:t>Comment peut-on garantir la formation du personnel (secouristes et collaborateurs), ainsi que le maintien en état du matériel.</w:t>
      </w:r>
    </w:p>
    <w:p w14:paraId="65D94AB2" w14:textId="7C99BFB9" w:rsidR="00B019F8" w:rsidRPr="00B019F8" w:rsidRDefault="00B019F8" w:rsidP="00B019F8">
      <w:pPr>
        <w:rPr>
          <w:b/>
          <w:bCs/>
        </w:rPr>
      </w:pPr>
      <w:r w:rsidRPr="00B019F8">
        <w:rPr>
          <w:b/>
          <w:bCs/>
        </w:rPr>
        <w:t>Intervention partenaires feu bleu</w:t>
      </w:r>
    </w:p>
    <w:p w14:paraId="75488D39" w14:textId="02AC7ADD" w:rsidR="00B019F8" w:rsidRPr="00B85C30" w:rsidRDefault="00B019F8" w:rsidP="00B019F8">
      <w:r w:rsidRPr="00B85C30">
        <w:t>Mesures constructives et techniques</w:t>
      </w:r>
      <w:r>
        <w:t> : i</w:t>
      </w:r>
      <w:r w:rsidRPr="00B85C30">
        <w:t>ndiquer s’il y a des particularité (ex. emplacement des ascenseurs pour brancards</w:t>
      </w:r>
      <w:r>
        <w:t>, etc.)</w:t>
      </w:r>
    </w:p>
    <w:p w14:paraId="1C992AB4" w14:textId="376D83EA" w:rsidR="00B019F8" w:rsidRPr="00B85C30" w:rsidRDefault="00B019F8" w:rsidP="00B019F8">
      <w:r w:rsidRPr="00B85C30">
        <w:t>Mesures organisationnelles</w:t>
      </w:r>
      <w:r>
        <w:t xml:space="preserve"> : </w:t>
      </w:r>
      <w:r w:rsidRPr="00B85C30">
        <w:t>Quel est l’emplacement qui leur est réservé</w:t>
      </w:r>
      <w:r>
        <w:t xml:space="preserve"> et </w:t>
      </w:r>
      <w:r w:rsidRPr="00B85C30">
        <w:t>est-il libre en tout temps</w:t>
      </w:r>
      <w:r>
        <w:t xml:space="preserve"> ? </w:t>
      </w:r>
      <w:r w:rsidRPr="00B85C30">
        <w:t>Comment sont-ils accueillis (quelqu’un les attend, ils ont un interphone dédié,</w:t>
      </w:r>
      <w:r>
        <w:t xml:space="preserve"> etc.) ?</w:t>
      </w:r>
    </w:p>
    <w:p w14:paraId="758E649A" w14:textId="54EE21F7" w:rsidR="00EB6861" w:rsidRPr="00B019F8" w:rsidRDefault="00EB6861" w:rsidP="00B019F8">
      <w:pPr>
        <w:rPr>
          <w:b/>
          <w:bCs/>
        </w:rPr>
      </w:pPr>
      <w:r w:rsidRPr="00B019F8">
        <w:rPr>
          <w:b/>
          <w:bCs/>
        </w:rPr>
        <w:t>Procédure d’évacuation du bâtiment</w:t>
      </w:r>
    </w:p>
    <w:p w14:paraId="074058C3" w14:textId="682D4E0D" w:rsidR="00B019F8" w:rsidRPr="00B85C30" w:rsidRDefault="00B019F8" w:rsidP="00B019F8">
      <w:r w:rsidRPr="00B85C30">
        <w:t>Mesures constructives et techniques</w:t>
      </w:r>
      <w:r>
        <w:t> : s</w:t>
      </w:r>
      <w:r w:rsidRPr="00B85C30">
        <w:t>e référer au Concept de protection incendie [CPI] (qui doit être fait par un expert en protection incendie (niv. AQ3 selon AEAI).</w:t>
      </w:r>
    </w:p>
    <w:p w14:paraId="4A99E969" w14:textId="77777777" w:rsidR="00B019F8" w:rsidRPr="00B85C30" w:rsidRDefault="00B019F8" w:rsidP="00B019F8">
      <w:r w:rsidRPr="00B85C30">
        <w:t>Conserver le suivi des modifications ainsi que les validations des autorités compétentes en cas d’évolution du CPI.</w:t>
      </w:r>
    </w:p>
    <w:p w14:paraId="6AE013B5" w14:textId="2A1880F8" w:rsidR="00B019F8" w:rsidRDefault="00B019F8" w:rsidP="00B019F8">
      <w:r w:rsidRPr="00B85C30">
        <w:t>Mesures organisationnelles</w:t>
      </w:r>
      <w:r>
        <w:t> : i</w:t>
      </w:r>
      <w:r w:rsidRPr="00B85C30">
        <w:t xml:space="preserve">ndiquer le concept d’évacuation en se basant sur le </w:t>
      </w:r>
      <w:r w:rsidRPr="00B85C30">
        <w:t>doc</w:t>
      </w:r>
      <w:r>
        <w:t>ument « Concept de plan d’évacuation ».</w:t>
      </w:r>
    </w:p>
    <w:p w14:paraId="72B651F7" w14:textId="547D6D89" w:rsidR="00EB6861" w:rsidRDefault="00EB6861" w:rsidP="00B019F8">
      <w:pPr>
        <w:rPr>
          <w:b/>
          <w:bCs/>
        </w:rPr>
      </w:pPr>
      <w:r w:rsidRPr="00B019F8">
        <w:rPr>
          <w:b/>
          <w:bCs/>
        </w:rPr>
        <w:t>Intervention en cas d’incendie</w:t>
      </w:r>
    </w:p>
    <w:p w14:paraId="46FE8068" w14:textId="30577B88" w:rsidR="00B019F8" w:rsidRDefault="00B019F8" w:rsidP="00B019F8">
      <w:r w:rsidRPr="00B019F8">
        <w:rPr>
          <w:bCs/>
        </w:rPr>
        <w:t>Mesures constructives et techniques</w:t>
      </w:r>
      <w:r>
        <w:t> : s</w:t>
      </w:r>
      <w:r w:rsidRPr="00B85C30">
        <w:t>e référer au Concept de protection incendie [CPI] (qui doit être fait par un expert en protection incendie (niv. AQ3 selon AEAI).</w:t>
      </w:r>
      <w:r>
        <w:t xml:space="preserve"> </w:t>
      </w:r>
      <w:r w:rsidRPr="00B85C30">
        <w:t>Conserver le suivi des modifications ainsi que les validations des autorités compétentes en cas d’évolution du CPI.</w:t>
      </w:r>
    </w:p>
    <w:p w14:paraId="2C90FCCF" w14:textId="6552341A" w:rsidR="00B019F8" w:rsidRPr="00B85C30" w:rsidRDefault="00B019F8" w:rsidP="00B019F8">
      <w:pPr>
        <w:pStyle w:val="Titre2"/>
        <w:contextualSpacing w:val="0"/>
      </w:pPr>
      <w:r w:rsidRPr="00B85C30">
        <w:t>Mesures organisationnelles</w:t>
      </w:r>
      <w:r>
        <w:t> :</w:t>
      </w:r>
    </w:p>
    <w:p w14:paraId="513F61AC" w14:textId="77777777" w:rsidR="00B019F8" w:rsidRPr="00B85C30" w:rsidRDefault="00B019F8" w:rsidP="00B019F8">
      <w:pPr>
        <w:pStyle w:val="Paragraphedeliste"/>
        <w:numPr>
          <w:ilvl w:val="0"/>
          <w:numId w:val="28"/>
        </w:numPr>
      </w:pPr>
      <w:r w:rsidRPr="00B85C30">
        <w:t xml:space="preserve">Qui doit être formé pour l’utilisation des petits moyens d’extinctions </w:t>
      </w:r>
      <w:r>
        <w:t xml:space="preserve">et </w:t>
      </w:r>
      <w:r w:rsidRPr="00B85C30">
        <w:t>quels sont-ils</w:t>
      </w:r>
      <w:r>
        <w:t> ;</w:t>
      </w:r>
    </w:p>
    <w:p w14:paraId="0792E079" w14:textId="77777777" w:rsidR="00B019F8" w:rsidRPr="00B85C30" w:rsidRDefault="00B019F8" w:rsidP="00B019F8">
      <w:pPr>
        <w:pStyle w:val="Paragraphedeliste"/>
        <w:numPr>
          <w:ilvl w:val="0"/>
          <w:numId w:val="28"/>
        </w:numPr>
      </w:pPr>
      <w:r w:rsidRPr="00B85C30">
        <w:t>Qui doit être formé pour l’utilisation de la centrale de détection incendie et comment</w:t>
      </w:r>
      <w:r>
        <w:t> ;</w:t>
      </w:r>
    </w:p>
    <w:p w14:paraId="28BA4565" w14:textId="77777777" w:rsidR="00B019F8" w:rsidRPr="00B85C30" w:rsidRDefault="00B019F8" w:rsidP="00B019F8">
      <w:pPr>
        <w:pStyle w:val="Paragraphedeliste"/>
        <w:numPr>
          <w:ilvl w:val="0"/>
          <w:numId w:val="28"/>
        </w:numPr>
      </w:pPr>
      <w:r w:rsidRPr="00B85C30">
        <w:t>Comment est gérée la centrale incendie en journée et la nuit</w:t>
      </w:r>
      <w:r>
        <w:t> ;</w:t>
      </w:r>
    </w:p>
    <w:p w14:paraId="0D04F974" w14:textId="77777777" w:rsidR="00B019F8" w:rsidRPr="00B85C30" w:rsidRDefault="00B019F8" w:rsidP="00B019F8">
      <w:pPr>
        <w:pStyle w:val="Paragraphedeliste"/>
        <w:numPr>
          <w:ilvl w:val="0"/>
          <w:numId w:val="28"/>
        </w:numPr>
      </w:pPr>
      <w:r w:rsidRPr="00B85C30">
        <w:t>Réglage de la temporisation en mode jour et nuit</w:t>
      </w:r>
      <w:r>
        <w:t> ;</w:t>
      </w:r>
    </w:p>
    <w:p w14:paraId="12E28EBE" w14:textId="77777777" w:rsidR="00B019F8" w:rsidRPr="00B85C30" w:rsidRDefault="00B019F8" w:rsidP="00B019F8">
      <w:pPr>
        <w:pStyle w:val="Paragraphedeliste"/>
        <w:numPr>
          <w:ilvl w:val="0"/>
          <w:numId w:val="28"/>
        </w:numPr>
      </w:pPr>
      <w:r w:rsidRPr="00B85C30">
        <w:t>Comment est géré le passage en mode jour et nuit</w:t>
      </w:r>
      <w:r>
        <w:t> ;</w:t>
      </w:r>
    </w:p>
    <w:p w14:paraId="188AB9F6" w14:textId="77777777" w:rsidR="00B019F8" w:rsidRPr="00B85C30" w:rsidRDefault="00B019F8" w:rsidP="00B019F8">
      <w:pPr>
        <w:pStyle w:val="Paragraphedeliste"/>
        <w:numPr>
          <w:ilvl w:val="0"/>
          <w:numId w:val="28"/>
        </w:numPr>
      </w:pPr>
      <w:r w:rsidRPr="00B85C30">
        <w:t>Intervention sur la centrale ou mise hors service : quelles sont les procédures</w:t>
      </w:r>
      <w:r>
        <w:t> ;</w:t>
      </w:r>
    </w:p>
    <w:p w14:paraId="1D0CC8EB" w14:textId="77777777" w:rsidR="00B019F8" w:rsidRPr="00B85C30" w:rsidRDefault="00B019F8" w:rsidP="00B019F8">
      <w:pPr>
        <w:pStyle w:val="Paragraphedeliste"/>
        <w:numPr>
          <w:ilvl w:val="0"/>
          <w:numId w:val="28"/>
        </w:numPr>
      </w:pPr>
      <w:r w:rsidRPr="00B85C30">
        <w:t>En cas de travaux créant de la poussière ou chantier : quelles sont les procédures</w:t>
      </w:r>
      <w:r>
        <w:t> ;</w:t>
      </w:r>
    </w:p>
    <w:p w14:paraId="0E849BD7" w14:textId="77777777" w:rsidR="00B019F8" w:rsidRPr="00B85C30" w:rsidRDefault="00B019F8" w:rsidP="00B019F8">
      <w:pPr>
        <w:pStyle w:val="Paragraphedeliste"/>
        <w:numPr>
          <w:ilvl w:val="0"/>
          <w:numId w:val="28"/>
        </w:numPr>
      </w:pPr>
      <w:r w:rsidRPr="00B85C30">
        <w:t>Quels sont les numéros de levée de doute (selon les cantons)</w:t>
      </w:r>
      <w:r>
        <w:t> ;</w:t>
      </w:r>
    </w:p>
    <w:p w14:paraId="105B50FD" w14:textId="77777777" w:rsidR="00B019F8" w:rsidRPr="00B85C30" w:rsidRDefault="00B019F8" w:rsidP="00B019F8">
      <w:pPr>
        <w:pStyle w:val="Paragraphedeliste"/>
        <w:numPr>
          <w:ilvl w:val="0"/>
          <w:numId w:val="28"/>
        </w:numPr>
      </w:pPr>
      <w:r w:rsidRPr="00B85C30">
        <w:t>Qui est informé lors d’un événement sur la centrale de détection incendie</w:t>
      </w:r>
      <w:r>
        <w:t> ;</w:t>
      </w:r>
    </w:p>
    <w:p w14:paraId="1A3EB123" w14:textId="77777777" w:rsidR="00B019F8" w:rsidRPr="00B85C30" w:rsidRDefault="00B019F8" w:rsidP="00B019F8">
      <w:pPr>
        <w:pStyle w:val="Paragraphedeliste"/>
        <w:numPr>
          <w:ilvl w:val="0"/>
          <w:numId w:val="28"/>
        </w:numPr>
      </w:pPr>
      <w:r w:rsidRPr="00B85C30">
        <w:t>Qui est informé lors d’une alarme feu</w:t>
      </w:r>
      <w:r>
        <w:t> ;</w:t>
      </w:r>
    </w:p>
    <w:p w14:paraId="721E3A2B" w14:textId="77777777" w:rsidR="00B019F8" w:rsidRPr="00B85C30" w:rsidRDefault="00B019F8" w:rsidP="00B019F8">
      <w:pPr>
        <w:pStyle w:val="Paragraphedeliste"/>
        <w:numPr>
          <w:ilvl w:val="0"/>
          <w:numId w:val="28"/>
        </w:numPr>
      </w:pPr>
      <w:r w:rsidRPr="00B85C30">
        <w:t>Qui gère l’alarme feu en interne (organisation dès déclenchement de l’alarme jusqu’à remise en état préparatoire)</w:t>
      </w:r>
      <w:r>
        <w:t> ;</w:t>
      </w:r>
    </w:p>
    <w:p w14:paraId="0CAA7524" w14:textId="77777777" w:rsidR="00B019F8" w:rsidRPr="00B85C30" w:rsidRDefault="00B019F8" w:rsidP="00B019F8">
      <w:pPr>
        <w:pStyle w:val="Paragraphedeliste"/>
        <w:numPr>
          <w:ilvl w:val="0"/>
          <w:numId w:val="28"/>
        </w:numPr>
      </w:pPr>
      <w:r w:rsidRPr="00B85C30">
        <w:t>Déroulement lors d’une alarme (intervenant, tâches, rôles et responsabilités)</w:t>
      </w:r>
      <w:r>
        <w:t> ;</w:t>
      </w:r>
    </w:p>
    <w:p w14:paraId="025CA0C0" w14:textId="77777777" w:rsidR="00B019F8" w:rsidRPr="00B85C30" w:rsidRDefault="00B019F8" w:rsidP="00B019F8">
      <w:pPr>
        <w:pStyle w:val="Paragraphedeliste"/>
        <w:numPr>
          <w:ilvl w:val="0"/>
          <w:numId w:val="28"/>
        </w:numPr>
      </w:pPr>
      <w:r w:rsidRPr="00B85C30">
        <w:t>Mode d’emploi de la centrale incendie</w:t>
      </w:r>
      <w:r>
        <w:t> ;</w:t>
      </w:r>
    </w:p>
    <w:p w14:paraId="368FA1D8" w14:textId="77777777" w:rsidR="00B019F8" w:rsidRPr="00B85C30" w:rsidRDefault="00B019F8" w:rsidP="00B019F8">
      <w:pPr>
        <w:pStyle w:val="Paragraphedeliste"/>
        <w:numPr>
          <w:ilvl w:val="0"/>
          <w:numId w:val="28"/>
        </w:numPr>
      </w:pPr>
      <w:r w:rsidRPr="00B85C30">
        <w:t>Comment est effectuée la levée de doute</w:t>
      </w:r>
      <w:r>
        <w:t> ;</w:t>
      </w:r>
    </w:p>
    <w:p w14:paraId="3F40A8DF" w14:textId="77777777" w:rsidR="00B019F8" w:rsidRPr="00B85C30" w:rsidRDefault="00B019F8" w:rsidP="00B019F8">
      <w:pPr>
        <w:pStyle w:val="Paragraphedeliste"/>
        <w:numPr>
          <w:ilvl w:val="0"/>
          <w:numId w:val="28"/>
        </w:numPr>
      </w:pPr>
      <w:r w:rsidRPr="00B85C30">
        <w:t>Que faire en cas de fausse alarme</w:t>
      </w:r>
      <w:r>
        <w:t> ;</w:t>
      </w:r>
    </w:p>
    <w:p w14:paraId="2E9B55D8" w14:textId="77777777" w:rsidR="00B019F8" w:rsidRPr="00B85C30" w:rsidRDefault="00B019F8" w:rsidP="00B019F8">
      <w:pPr>
        <w:pStyle w:val="Paragraphedeliste"/>
        <w:numPr>
          <w:ilvl w:val="0"/>
          <w:numId w:val="28"/>
        </w:numPr>
      </w:pPr>
      <w:r w:rsidRPr="00B85C30">
        <w:t>Que faire en cas d’alarme avérée</w:t>
      </w:r>
      <w:r>
        <w:t> ;</w:t>
      </w:r>
    </w:p>
    <w:p w14:paraId="1839095A" w14:textId="77777777" w:rsidR="00B019F8" w:rsidRPr="00B85C30" w:rsidRDefault="00B019F8" w:rsidP="00B019F8">
      <w:pPr>
        <w:pStyle w:val="Paragraphedeliste"/>
        <w:numPr>
          <w:ilvl w:val="0"/>
          <w:numId w:val="28"/>
        </w:numPr>
      </w:pPr>
      <w:r w:rsidRPr="00B85C30">
        <w:t>Que faire en cas de dérangement</w:t>
      </w:r>
      <w:r>
        <w:t> ;</w:t>
      </w:r>
    </w:p>
    <w:p w14:paraId="5F2878EA" w14:textId="77777777" w:rsidR="00B019F8" w:rsidRPr="00B85C30" w:rsidRDefault="00B019F8" w:rsidP="00B019F8">
      <w:pPr>
        <w:pStyle w:val="Paragraphedeliste"/>
        <w:numPr>
          <w:ilvl w:val="0"/>
          <w:numId w:val="28"/>
        </w:numPr>
      </w:pPr>
      <w:r w:rsidRPr="00B85C30">
        <w:t>Formation incendie et thèmes abordés</w:t>
      </w:r>
      <w:r>
        <w:t> ;</w:t>
      </w:r>
    </w:p>
    <w:p w14:paraId="2EB3A431" w14:textId="77777777" w:rsidR="00B019F8" w:rsidRPr="00B85C30" w:rsidRDefault="00B019F8" w:rsidP="00B019F8">
      <w:pPr>
        <w:pStyle w:val="Paragraphedeliste"/>
        <w:numPr>
          <w:ilvl w:val="0"/>
          <w:numId w:val="28"/>
        </w:numPr>
      </w:pPr>
      <w:r w:rsidRPr="00B85C30">
        <w:t xml:space="preserve">Interventions </w:t>
      </w:r>
      <w:r>
        <w:t xml:space="preserve">des </w:t>
      </w:r>
      <w:r w:rsidRPr="00B85C30">
        <w:t>pompiers</w:t>
      </w:r>
      <w:r>
        <w:t> :</w:t>
      </w:r>
    </w:p>
    <w:p w14:paraId="3CAEB6F4" w14:textId="77777777" w:rsidR="00B019F8" w:rsidRPr="00B85C30" w:rsidRDefault="00B019F8" w:rsidP="00B019F8">
      <w:pPr>
        <w:pStyle w:val="Paragraphedeliste"/>
        <w:numPr>
          <w:ilvl w:val="1"/>
          <w:numId w:val="28"/>
        </w:numPr>
      </w:pPr>
      <w:r w:rsidRPr="00B85C30">
        <w:t>Accueil et guidage lors de l’entrée pompiers (feu flash, tableau de rappel)</w:t>
      </w:r>
      <w:r>
        <w:t> ;</w:t>
      </w:r>
    </w:p>
    <w:p w14:paraId="15AD8F9A" w14:textId="77777777" w:rsidR="00B019F8" w:rsidRDefault="00B019F8" w:rsidP="00B019F8">
      <w:pPr>
        <w:pStyle w:val="Paragraphedeliste"/>
        <w:numPr>
          <w:ilvl w:val="1"/>
          <w:numId w:val="28"/>
        </w:numPr>
      </w:pPr>
      <w:r w:rsidRPr="00B85C30">
        <w:t>Mise en place, suivi et mise à disposition du classeur pompier</w:t>
      </w:r>
      <w:r>
        <w:t> ;</w:t>
      </w:r>
    </w:p>
    <w:p w14:paraId="3E6ABC12" w14:textId="77777777" w:rsidR="00B019F8" w:rsidRDefault="00B019F8" w:rsidP="00B019F8">
      <w:pPr>
        <w:pStyle w:val="Paragraphedeliste"/>
        <w:numPr>
          <w:ilvl w:val="0"/>
          <w:numId w:val="28"/>
        </w:numPr>
      </w:pPr>
      <w:r w:rsidRPr="00B85C30">
        <w:t xml:space="preserve">Comment </w:t>
      </w:r>
      <w:r>
        <w:t xml:space="preserve">peut-on garantir </w:t>
      </w:r>
      <w:r w:rsidRPr="00B85C30">
        <w:t>la formation du personnel ainsi que le maintien en état du matériel</w:t>
      </w:r>
      <w:r>
        <w:t> ;</w:t>
      </w:r>
    </w:p>
    <w:p w14:paraId="1FBDD010" w14:textId="77777777" w:rsidR="00B019F8" w:rsidRPr="00B85C30" w:rsidRDefault="00B019F8" w:rsidP="00B019F8">
      <w:pPr>
        <w:pStyle w:val="Paragraphedeliste"/>
        <w:numPr>
          <w:ilvl w:val="0"/>
          <w:numId w:val="28"/>
        </w:numPr>
      </w:pPr>
      <w:r w:rsidRPr="00B85C30">
        <w:t xml:space="preserve">Comment </w:t>
      </w:r>
      <w:r>
        <w:t xml:space="preserve">peut-on garantir </w:t>
      </w:r>
      <w:r w:rsidRPr="00B85C30">
        <w:t>l’accessibilité aux moyens d’urgences (moyens d’extinction, voie de fuite, balisage de sécurité) ?</w:t>
      </w:r>
    </w:p>
    <w:p w14:paraId="577371D5" w14:textId="7A188105" w:rsidR="00EB6861" w:rsidRDefault="00EB6861" w:rsidP="00B019F8">
      <w:pPr>
        <w:rPr>
          <w:b/>
          <w:bCs/>
        </w:rPr>
      </w:pPr>
      <w:r w:rsidRPr="00F75B42">
        <w:rPr>
          <w:b/>
          <w:bCs/>
        </w:rPr>
        <w:t>Sureté du bâtiment</w:t>
      </w:r>
    </w:p>
    <w:p w14:paraId="02F5EE36" w14:textId="605055BC" w:rsidR="00B019F8" w:rsidRPr="00F75B42" w:rsidRDefault="00B019F8" w:rsidP="00B019F8">
      <w:r w:rsidRPr="00F75B42">
        <w:t>Mesures constructives et techniques</w:t>
      </w:r>
      <w:r>
        <w:t> : q</w:t>
      </w:r>
      <w:r w:rsidRPr="00F75B42">
        <w:t>uel est le niveau de sécurité de l’accès extérieur du bâtiment (porte sécurisé, verre feuilleté, accès par des balcons, terrasses, fenêtres)</w:t>
      </w:r>
      <w:r>
        <w:t xml:space="preserve"> ? </w:t>
      </w:r>
      <w:r w:rsidRPr="00F75B42">
        <w:t>Comment sont sécurisé</w:t>
      </w:r>
      <w:r>
        <w:t>s</w:t>
      </w:r>
      <w:r w:rsidRPr="00F75B42">
        <w:t xml:space="preserve"> les valeurs (argent, bijoux, stupéfiants)</w:t>
      </w:r>
      <w:r>
        <w:t xml:space="preserve"> ? </w:t>
      </w:r>
      <w:r w:rsidRPr="00F75B42">
        <w:t xml:space="preserve">Comment </w:t>
      </w:r>
      <w:r>
        <w:t>les l</w:t>
      </w:r>
      <w:r w:rsidRPr="00F75B42">
        <w:t xml:space="preserve">ocaux « à risque » </w:t>
      </w:r>
      <w:r>
        <w:t xml:space="preserve">sont-ils sécurités </w:t>
      </w:r>
      <w:r w:rsidRPr="00F75B42">
        <w:t xml:space="preserve">(local IT, </w:t>
      </w:r>
      <w:r>
        <w:t>c</w:t>
      </w:r>
      <w:r w:rsidRPr="00F75B42">
        <w:t>haufferie, stockage produits dangereux</w:t>
      </w:r>
      <w:r>
        <w:t>, etc.) ?</w:t>
      </w:r>
    </w:p>
    <w:p w14:paraId="279A5461" w14:textId="58F5EDFD" w:rsidR="00B019F8" w:rsidRPr="00F75B42" w:rsidRDefault="00B019F8" w:rsidP="00B019F8">
      <w:r w:rsidRPr="00F75B42">
        <w:t>Mesure organisationnelle</w:t>
      </w:r>
      <w:r>
        <w:t> : e</w:t>
      </w:r>
      <w:r w:rsidRPr="00F75B42">
        <w:t>xiste-t-il des valeurs en quantité tel</w:t>
      </w:r>
      <w:r>
        <w:t>le</w:t>
      </w:r>
      <w:r w:rsidRPr="00F75B42">
        <w:t xml:space="preserve"> que cela inciterait des personnes au larcin ?</w:t>
      </w:r>
      <w:r>
        <w:t xml:space="preserve"> </w:t>
      </w:r>
      <w:r w:rsidRPr="00F75B42">
        <w:t xml:space="preserve">Quel est la procédure en cas d’effraction ? </w:t>
      </w:r>
      <w:r>
        <w:t>E</w:t>
      </w:r>
      <w:r w:rsidRPr="00F75B42">
        <w:t>st-ce que le personnel est formé pour réagir</w:t>
      </w:r>
      <w:r>
        <w:t xml:space="preserve"> ? En présence de résidents pouvant présenter des risques (décompensation, violence, etc.) </w:t>
      </w:r>
      <w:r w:rsidRPr="00F75B42">
        <w:t>est-ce que le collaborateur a une voie de fuite ou est-il bloqué</w:t>
      </w:r>
      <w:r>
        <w:t xml:space="preserve"> ? </w:t>
      </w:r>
      <w:r w:rsidRPr="00F75B42">
        <w:t>Comment sont gérés les niveaux d’accès</w:t>
      </w:r>
      <w:r>
        <w:t> ?</w:t>
      </w:r>
    </w:p>
    <w:p w14:paraId="0D76DC62" w14:textId="4503BD29" w:rsidR="00B019F8" w:rsidRPr="00F75B42" w:rsidRDefault="00B019F8" w:rsidP="00B019F8">
      <w:pPr>
        <w:rPr>
          <w:b/>
          <w:bCs/>
        </w:rPr>
      </w:pPr>
      <w:r>
        <w:rPr>
          <w:b/>
          <w:bCs/>
        </w:rPr>
        <w:t>Travailleur isolé</w:t>
      </w:r>
    </w:p>
    <w:p w14:paraId="4960C57B" w14:textId="3B7C9753" w:rsidR="00F75B42" w:rsidRPr="00F75B42" w:rsidRDefault="00F75B42" w:rsidP="00B019F8">
      <w:r w:rsidRPr="00F75B42">
        <w:t>Mesures constructives</w:t>
      </w:r>
      <w:r w:rsidRPr="00F75B42">
        <w:t xml:space="preserve"> et techniques</w:t>
      </w:r>
      <w:r>
        <w:t xml:space="preserve"> : </w:t>
      </w:r>
      <w:r w:rsidR="00B019F8">
        <w:t>e</w:t>
      </w:r>
      <w:r w:rsidRPr="00F75B42">
        <w:t>st-ce que le travailleur isolé peu en tout temps appeler à l’aide (téléphone avec réseau disponible sur l’entier du bâtiment) ?</w:t>
      </w:r>
    </w:p>
    <w:p w14:paraId="4A59064C" w14:textId="41DA4C02" w:rsidR="00F75B42" w:rsidRPr="00F75B42" w:rsidRDefault="00F75B42" w:rsidP="00B019F8">
      <w:r w:rsidRPr="00F75B42">
        <w:t>Mesure organisationnelle</w:t>
      </w:r>
      <w:r w:rsidR="00B019F8">
        <w:t> : u</w:t>
      </w:r>
      <w:r w:rsidRPr="00F75B42">
        <w:t>ne analyse de risque à elle été réalisé (cf, doc, SUVA 44094_f).</w:t>
      </w:r>
      <w:r w:rsidR="00B019F8">
        <w:t xml:space="preserve"> </w:t>
      </w:r>
      <w:r w:rsidRPr="00F75B42">
        <w:t>Suite à cette analyse, les actions requises doivent figurer dans le document.</w:t>
      </w:r>
    </w:p>
    <w:p w14:paraId="545363E1" w14:textId="6EA2CF4D" w:rsidR="00F75B42" w:rsidRPr="00F75B42" w:rsidRDefault="00F75B42" w:rsidP="00B019F8">
      <w:r w:rsidRPr="00F75B42">
        <w:t>Attention, en cas de PTI (protection pour travailleur isolé), il faut prévoir une chaine d’alarme avec possibilité pour les intervenants de pénétrer sur le site.</w:t>
      </w:r>
    </w:p>
    <w:sectPr w:rsidR="00F75B42" w:rsidRPr="00F75B42" w:rsidSect="00AE4A7B">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6741" w14:textId="77777777" w:rsidR="004E3687" w:rsidRDefault="004E3687" w:rsidP="007B1BE9">
      <w:r>
        <w:separator/>
      </w:r>
    </w:p>
  </w:endnote>
  <w:endnote w:type="continuationSeparator" w:id="0">
    <w:p w14:paraId="3B6AE378" w14:textId="77777777" w:rsidR="004E3687" w:rsidRDefault="004E3687"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0A9D" w14:textId="77777777" w:rsidR="00B85C30" w:rsidRDefault="00B85C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88D" w14:textId="31F4CD88" w:rsidR="00864224" w:rsidRPr="009D3081" w:rsidRDefault="00415291" w:rsidP="009D3081">
    <w:pPr>
      <w:pStyle w:val="Pieddepage"/>
      <w:tabs>
        <w:tab w:val="clear" w:pos="9072"/>
      </w:tabs>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sidR="00B85C30">
      <w:rPr>
        <w:noProof/>
        <w:sz w:val="15"/>
        <w:szCs w:val="15"/>
      </w:rPr>
      <w:fldChar w:fldCharType="begin"/>
    </w:r>
    <w:r w:rsidR="00B85C30">
      <w:rPr>
        <w:noProof/>
        <w:sz w:val="15"/>
        <w:szCs w:val="15"/>
      </w:rPr>
      <w:instrText xml:space="preserve"> FILENAME \* MERGEFORMAT </w:instrText>
    </w:r>
    <w:r w:rsidR="00B85C30">
      <w:rPr>
        <w:noProof/>
        <w:sz w:val="15"/>
        <w:szCs w:val="15"/>
      </w:rPr>
      <w:fldChar w:fldCharType="separate"/>
    </w:r>
    <w:r w:rsidR="00B85C30">
      <w:rPr>
        <w:noProof/>
        <w:sz w:val="15"/>
        <w:szCs w:val="15"/>
      </w:rPr>
      <w:t>7.4 Concept de plan d'urgence.docx</w:t>
    </w:r>
    <w:r w:rsidR="00B85C30">
      <w:rPr>
        <w:noProof/>
        <w:sz w:val="15"/>
        <w:szCs w:val="15"/>
      </w:rPr>
      <w:fldChar w:fldCharType="end"/>
    </w:r>
    <w:r w:rsidR="00EB6861" w:rsidRPr="00EB6861">
      <w:rPr>
        <w:noProof/>
        <w:sz w:val="15"/>
        <w:szCs w:val="15"/>
      </w:rPr>
      <w:t xml:space="preserve"> </w:t>
    </w:r>
    <w:r>
      <w:rPr>
        <w:sz w:val="15"/>
        <w:szCs w:val="15"/>
      </w:rPr>
      <w:fldChar w:fldCharType="end"/>
    </w:r>
    <w:r w:rsidR="00EB6861">
      <w:rPr>
        <w:sz w:val="15"/>
        <w:szCs w:val="15"/>
      </w:rPr>
      <w:t xml:space="preserve"> </w:t>
    </w:r>
    <w:r w:rsidR="00227EE2">
      <w:rPr>
        <w:sz w:val="15"/>
        <w:szCs w:val="15"/>
      </w:rPr>
      <w:tab/>
    </w:r>
    <w:r w:rsidR="00227EE2">
      <w:rPr>
        <w:sz w:val="15"/>
        <w:szCs w:val="15"/>
      </w:rPr>
      <w:tab/>
    </w:r>
    <w:r w:rsidR="00227EE2">
      <w:rPr>
        <w:sz w:val="15"/>
        <w:szCs w:val="15"/>
      </w:rPr>
      <w:tab/>
    </w:r>
    <w:r w:rsidR="00227EE2">
      <w:rPr>
        <w:sz w:val="15"/>
        <w:szCs w:val="15"/>
      </w:rPr>
      <w:tab/>
    </w:r>
    <w:r w:rsidR="00227EE2">
      <w:rPr>
        <w:sz w:val="15"/>
        <w:szCs w:val="15"/>
      </w:rPr>
      <w:tab/>
    </w:r>
    <w:r w:rsidR="00227EE2">
      <w:rPr>
        <w:sz w:val="15"/>
        <w:szCs w:val="15"/>
      </w:rPr>
      <w:tab/>
    </w:r>
    <w:r w:rsidR="00227EE2">
      <w:rPr>
        <w:sz w:val="15"/>
        <w:szCs w:val="15"/>
      </w:rPr>
      <w:tab/>
    </w:r>
    <w:r w:rsidR="00864224" w:rsidRPr="001C7714">
      <w:rPr>
        <w:rFonts w:eastAsia="Times New Roman"/>
        <w:color w:val="6E6D6D"/>
        <w:spacing w:val="60"/>
        <w:sz w:val="15"/>
        <w:szCs w:val="15"/>
        <w:lang w:eastAsia="fr-FR"/>
      </w:rPr>
      <w:t>Page</w:t>
    </w:r>
    <w:r w:rsidR="00864224" w:rsidRPr="001C7714">
      <w:rPr>
        <w:rFonts w:eastAsia="Times New Roman"/>
        <w:color w:val="6E6D6D"/>
        <w:sz w:val="15"/>
        <w:szCs w:val="15"/>
        <w:lang w:eastAsia="fr-FR"/>
      </w:rPr>
      <w:t xml:space="preserve"> </w:t>
    </w:r>
    <w:r w:rsidR="00864224" w:rsidRPr="001C7714">
      <w:rPr>
        <w:rFonts w:eastAsia="Times New Roman"/>
        <w:color w:val="6E6D6D"/>
        <w:sz w:val="15"/>
        <w:szCs w:val="15"/>
        <w:lang w:val="fr-FR" w:eastAsia="fr-FR"/>
      </w:rPr>
      <w:fldChar w:fldCharType="begin"/>
    </w:r>
    <w:r w:rsidR="00864224" w:rsidRPr="001C7714">
      <w:rPr>
        <w:rFonts w:eastAsia="Times New Roman"/>
        <w:color w:val="6E6D6D"/>
        <w:sz w:val="15"/>
        <w:szCs w:val="15"/>
        <w:lang w:eastAsia="fr-FR"/>
      </w:rPr>
      <w:instrText>PAGE   \* MERGEFORMAT</w:instrText>
    </w:r>
    <w:r w:rsidR="00864224" w:rsidRPr="001C7714">
      <w:rPr>
        <w:rFonts w:eastAsia="Times New Roman"/>
        <w:color w:val="6E6D6D"/>
        <w:sz w:val="15"/>
        <w:szCs w:val="15"/>
        <w:lang w:val="fr-FR" w:eastAsia="fr-FR"/>
      </w:rPr>
      <w:fldChar w:fldCharType="separate"/>
    </w:r>
    <w:r w:rsidR="00864224">
      <w:rPr>
        <w:rFonts w:eastAsia="Times New Roman"/>
        <w:color w:val="6E6D6D"/>
        <w:sz w:val="15"/>
        <w:szCs w:val="15"/>
        <w:lang w:val="fr-FR" w:eastAsia="fr-FR"/>
      </w:rPr>
      <w:t>1</w:t>
    </w:r>
    <w:r w:rsidR="00864224" w:rsidRPr="001C7714">
      <w:rPr>
        <w:rFonts w:eastAsia="Times New Roman"/>
        <w:color w:val="6E6D6D"/>
        <w:sz w:val="15"/>
        <w:szCs w:val="15"/>
        <w:lang w:val="fr-FR" w:eastAsia="fr-FR"/>
      </w:rPr>
      <w:fldChar w:fldCharType="end"/>
    </w:r>
    <w:r w:rsidR="00864224" w:rsidRPr="001C7714">
      <w:rPr>
        <w:rFonts w:eastAsia="Times New Roman"/>
        <w:color w:val="6E6D6D"/>
        <w:sz w:val="15"/>
        <w:szCs w:val="15"/>
        <w:lang w:eastAsia="fr-FR"/>
      </w:rPr>
      <w:t xml:space="preserve"> | </w:t>
    </w:r>
    <w:r w:rsidR="00864224" w:rsidRPr="001C7714">
      <w:rPr>
        <w:rFonts w:eastAsia="Times New Roman"/>
        <w:color w:val="6E6D6D"/>
        <w:sz w:val="15"/>
        <w:szCs w:val="15"/>
        <w:lang w:val="fr-FR" w:eastAsia="fr-FR"/>
      </w:rPr>
      <w:fldChar w:fldCharType="begin"/>
    </w:r>
    <w:r w:rsidR="00864224" w:rsidRPr="001C7714">
      <w:rPr>
        <w:rFonts w:eastAsia="Times New Roman"/>
        <w:color w:val="6E6D6D"/>
        <w:sz w:val="15"/>
        <w:szCs w:val="15"/>
        <w:lang w:eastAsia="fr-FR"/>
      </w:rPr>
      <w:instrText>NUMPAGES  \* Arabic  \* MERGEFORMAT</w:instrText>
    </w:r>
    <w:r w:rsidR="00864224" w:rsidRPr="001C7714">
      <w:rPr>
        <w:rFonts w:eastAsia="Times New Roman"/>
        <w:color w:val="6E6D6D"/>
        <w:sz w:val="15"/>
        <w:szCs w:val="15"/>
        <w:lang w:val="fr-FR" w:eastAsia="fr-FR"/>
      </w:rPr>
      <w:fldChar w:fldCharType="separate"/>
    </w:r>
    <w:r w:rsidR="00864224">
      <w:rPr>
        <w:rFonts w:eastAsia="Times New Roman"/>
        <w:color w:val="6E6D6D"/>
        <w:sz w:val="15"/>
        <w:szCs w:val="15"/>
        <w:lang w:val="fr-FR" w:eastAsia="fr-FR"/>
      </w:rPr>
      <w:t>3</w:t>
    </w:r>
    <w:r w:rsidR="00864224" w:rsidRPr="001C7714">
      <w:rPr>
        <w:rFonts w:eastAsia="Times New Roman"/>
        <w:color w:val="6E6D6D"/>
        <w:sz w:val="15"/>
        <w:szCs w:val="15"/>
        <w:lang w:val="fr-FR"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B3AB" w14:textId="77777777" w:rsidR="00B85C30" w:rsidRDefault="00B85C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D8B4" w14:textId="77777777" w:rsidR="004E3687" w:rsidRDefault="004E3687" w:rsidP="007B1BE9">
      <w:r>
        <w:separator/>
      </w:r>
    </w:p>
  </w:footnote>
  <w:footnote w:type="continuationSeparator" w:id="0">
    <w:p w14:paraId="5CF47F62" w14:textId="77777777" w:rsidR="004E3687" w:rsidRDefault="004E3687"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7663" w14:textId="77777777" w:rsidR="00B85C30" w:rsidRDefault="00B85C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6B19" w14:textId="117432FC" w:rsidR="00864224" w:rsidRDefault="00864224">
    <w:pPr>
      <w:pStyle w:val="En-tte"/>
    </w:pPr>
    <w:r>
      <w:rPr>
        <w:noProof/>
      </w:rPr>
      <w:drawing>
        <wp:inline distT="0" distB="0" distL="0" distR="0" wp14:anchorId="0023B09B" wp14:editId="743AD5FD">
          <wp:extent cx="523875" cy="504825"/>
          <wp:effectExtent l="0" t="0" r="9525" b="9525"/>
          <wp:docPr id="26" name="Image 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BCB7" w14:textId="77777777" w:rsidR="00B85C30" w:rsidRDefault="00B85C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06"/>
    <w:multiLevelType w:val="hybridMultilevel"/>
    <w:tmpl w:val="D390EC86"/>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8E1557"/>
    <w:multiLevelType w:val="hybridMultilevel"/>
    <w:tmpl w:val="9722722C"/>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643FA9"/>
    <w:multiLevelType w:val="multilevel"/>
    <w:tmpl w:val="D800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A2229"/>
    <w:multiLevelType w:val="hybridMultilevel"/>
    <w:tmpl w:val="6428BAC4"/>
    <w:lvl w:ilvl="0" w:tplc="100C000D">
      <w:start w:val="1"/>
      <w:numFmt w:val="bullet"/>
      <w:lvlText w:val=""/>
      <w:lvlJc w:val="left"/>
      <w:pPr>
        <w:ind w:left="1080" w:hanging="360"/>
      </w:pPr>
      <w:rPr>
        <w:rFonts w:ascii="Wingdings" w:hAnsi="Wingdings"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EA326A7"/>
    <w:multiLevelType w:val="hybridMultilevel"/>
    <w:tmpl w:val="314EDE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01059CE"/>
    <w:multiLevelType w:val="hybridMultilevel"/>
    <w:tmpl w:val="1DF006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BEE3B90"/>
    <w:multiLevelType w:val="hybridMultilevel"/>
    <w:tmpl w:val="E788FB8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F05355B"/>
    <w:multiLevelType w:val="hybridMultilevel"/>
    <w:tmpl w:val="4C5CC74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85B57FD"/>
    <w:multiLevelType w:val="multilevel"/>
    <w:tmpl w:val="B6EE6C4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6E52CD6"/>
    <w:multiLevelType w:val="hybridMultilevel"/>
    <w:tmpl w:val="72CA4B3C"/>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70A2AC7"/>
    <w:multiLevelType w:val="multilevel"/>
    <w:tmpl w:val="92A41C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B13CDD"/>
    <w:multiLevelType w:val="multilevel"/>
    <w:tmpl w:val="5784B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A6836"/>
    <w:multiLevelType w:val="hybridMultilevel"/>
    <w:tmpl w:val="8138A1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BCC3E8B"/>
    <w:multiLevelType w:val="hybridMultilevel"/>
    <w:tmpl w:val="420C5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3A01950"/>
    <w:multiLevelType w:val="multilevel"/>
    <w:tmpl w:val="B5120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0366A4"/>
    <w:multiLevelType w:val="hybridMultilevel"/>
    <w:tmpl w:val="FFFAD8D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B1A709F"/>
    <w:multiLevelType w:val="multilevel"/>
    <w:tmpl w:val="A836BD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6143D"/>
    <w:multiLevelType w:val="hybridMultilevel"/>
    <w:tmpl w:val="03CCF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EF666B3"/>
    <w:multiLevelType w:val="hybridMultilevel"/>
    <w:tmpl w:val="1510442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446370D"/>
    <w:multiLevelType w:val="hybridMultilevel"/>
    <w:tmpl w:val="39783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61828E6"/>
    <w:multiLevelType w:val="hybridMultilevel"/>
    <w:tmpl w:val="AE44F38A"/>
    <w:lvl w:ilvl="0" w:tplc="10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39E6859"/>
    <w:multiLevelType w:val="hybridMultilevel"/>
    <w:tmpl w:val="D72AE3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7933543"/>
    <w:multiLevelType w:val="hybridMultilevel"/>
    <w:tmpl w:val="F7EE1954"/>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7D4EB1"/>
    <w:multiLevelType w:val="hybridMultilevel"/>
    <w:tmpl w:val="918E9DA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8CA5472"/>
    <w:multiLevelType w:val="hybridMultilevel"/>
    <w:tmpl w:val="C4325C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FD33E1F"/>
    <w:multiLevelType w:val="hybridMultilevel"/>
    <w:tmpl w:val="B9F22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89130C1"/>
    <w:multiLevelType w:val="hybridMultilevel"/>
    <w:tmpl w:val="38BAC0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FC4560E"/>
    <w:multiLevelType w:val="hybridMultilevel"/>
    <w:tmpl w:val="BDB44EF4"/>
    <w:lvl w:ilvl="0" w:tplc="100C000F">
      <w:start w:val="1"/>
      <w:numFmt w:val="decimal"/>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56336933">
    <w:abstractNumId w:val="27"/>
  </w:num>
  <w:num w:numId="2" w16cid:durableId="1336301775">
    <w:abstractNumId w:val="13"/>
  </w:num>
  <w:num w:numId="3" w16cid:durableId="1124494716">
    <w:abstractNumId w:val="4"/>
  </w:num>
  <w:num w:numId="4" w16cid:durableId="1180120676">
    <w:abstractNumId w:val="19"/>
  </w:num>
  <w:num w:numId="5" w16cid:durableId="68239399">
    <w:abstractNumId w:val="23"/>
  </w:num>
  <w:num w:numId="6" w16cid:durableId="1539585646">
    <w:abstractNumId w:val="24"/>
  </w:num>
  <w:num w:numId="7" w16cid:durableId="181019841">
    <w:abstractNumId w:val="12"/>
  </w:num>
  <w:num w:numId="8" w16cid:durableId="1606308304">
    <w:abstractNumId w:val="17"/>
  </w:num>
  <w:num w:numId="9" w16cid:durableId="1791701401">
    <w:abstractNumId w:val="25"/>
  </w:num>
  <w:num w:numId="10" w16cid:durableId="191185908">
    <w:abstractNumId w:val="8"/>
  </w:num>
  <w:num w:numId="11" w16cid:durableId="1247573252">
    <w:abstractNumId w:val="6"/>
  </w:num>
  <w:num w:numId="12" w16cid:durableId="190193854">
    <w:abstractNumId w:val="21"/>
  </w:num>
  <w:num w:numId="13" w16cid:durableId="1750421075">
    <w:abstractNumId w:val="5"/>
  </w:num>
  <w:num w:numId="14" w16cid:durableId="33651873">
    <w:abstractNumId w:val="26"/>
  </w:num>
  <w:num w:numId="15" w16cid:durableId="291979381">
    <w:abstractNumId w:val="18"/>
  </w:num>
  <w:num w:numId="16" w16cid:durableId="862135883">
    <w:abstractNumId w:val="2"/>
  </w:num>
  <w:num w:numId="17" w16cid:durableId="992223101">
    <w:abstractNumId w:val="14"/>
  </w:num>
  <w:num w:numId="18" w16cid:durableId="1100642433">
    <w:abstractNumId w:val="10"/>
  </w:num>
  <w:num w:numId="19" w16cid:durableId="811143730">
    <w:abstractNumId w:val="11"/>
  </w:num>
  <w:num w:numId="20" w16cid:durableId="190462373">
    <w:abstractNumId w:val="16"/>
  </w:num>
  <w:num w:numId="21" w16cid:durableId="1033270359">
    <w:abstractNumId w:val="0"/>
  </w:num>
  <w:num w:numId="22" w16cid:durableId="1019431374">
    <w:abstractNumId w:val="7"/>
  </w:num>
  <w:num w:numId="23" w16cid:durableId="1378823205">
    <w:abstractNumId w:val="9"/>
  </w:num>
  <w:num w:numId="24" w16cid:durableId="176651555">
    <w:abstractNumId w:val="3"/>
  </w:num>
  <w:num w:numId="25" w16cid:durableId="673722666">
    <w:abstractNumId w:val="20"/>
  </w:num>
  <w:num w:numId="26" w16cid:durableId="1827476632">
    <w:abstractNumId w:val="1"/>
  </w:num>
  <w:num w:numId="27" w16cid:durableId="434329625">
    <w:abstractNumId w:val="22"/>
  </w:num>
  <w:num w:numId="28" w16cid:durableId="1416508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062B7C"/>
    <w:rsid w:val="00124FBD"/>
    <w:rsid w:val="001261F9"/>
    <w:rsid w:val="001C28FF"/>
    <w:rsid w:val="001D5341"/>
    <w:rsid w:val="002103BE"/>
    <w:rsid w:val="0022736A"/>
    <w:rsid w:val="00227EE2"/>
    <w:rsid w:val="002658E3"/>
    <w:rsid w:val="00276AFA"/>
    <w:rsid w:val="002D6EDF"/>
    <w:rsid w:val="002F0E60"/>
    <w:rsid w:val="00336989"/>
    <w:rsid w:val="00351993"/>
    <w:rsid w:val="00392754"/>
    <w:rsid w:val="00405A9D"/>
    <w:rsid w:val="00415291"/>
    <w:rsid w:val="0044164A"/>
    <w:rsid w:val="004A2CE1"/>
    <w:rsid w:val="004C6C8D"/>
    <w:rsid w:val="004E3687"/>
    <w:rsid w:val="00590AB2"/>
    <w:rsid w:val="005C4FC5"/>
    <w:rsid w:val="005E3B15"/>
    <w:rsid w:val="005E4BD2"/>
    <w:rsid w:val="00600934"/>
    <w:rsid w:val="0060161C"/>
    <w:rsid w:val="00640910"/>
    <w:rsid w:val="006B7BAE"/>
    <w:rsid w:val="006D2721"/>
    <w:rsid w:val="006D7C8F"/>
    <w:rsid w:val="007003BC"/>
    <w:rsid w:val="007823B4"/>
    <w:rsid w:val="00795465"/>
    <w:rsid w:val="007B0BAD"/>
    <w:rsid w:val="007B1BE9"/>
    <w:rsid w:val="007C5815"/>
    <w:rsid w:val="00864224"/>
    <w:rsid w:val="00865E5C"/>
    <w:rsid w:val="008B1BD7"/>
    <w:rsid w:val="008E45E3"/>
    <w:rsid w:val="00912630"/>
    <w:rsid w:val="00941D16"/>
    <w:rsid w:val="00944528"/>
    <w:rsid w:val="00976303"/>
    <w:rsid w:val="009D3081"/>
    <w:rsid w:val="00A53F34"/>
    <w:rsid w:val="00AC205B"/>
    <w:rsid w:val="00AE4A7B"/>
    <w:rsid w:val="00B019F8"/>
    <w:rsid w:val="00B4008F"/>
    <w:rsid w:val="00B85C30"/>
    <w:rsid w:val="00C95315"/>
    <w:rsid w:val="00D06554"/>
    <w:rsid w:val="00D163CF"/>
    <w:rsid w:val="00D23BCF"/>
    <w:rsid w:val="00D45BE5"/>
    <w:rsid w:val="00D620E8"/>
    <w:rsid w:val="00DC060E"/>
    <w:rsid w:val="00DD3A38"/>
    <w:rsid w:val="00E3332A"/>
    <w:rsid w:val="00E41129"/>
    <w:rsid w:val="00E73F48"/>
    <w:rsid w:val="00E8456D"/>
    <w:rsid w:val="00EB6861"/>
    <w:rsid w:val="00ED69FA"/>
    <w:rsid w:val="00EF5A57"/>
    <w:rsid w:val="00F52F36"/>
    <w:rsid w:val="00F75B42"/>
    <w:rsid w:val="00F94A78"/>
    <w:rsid w:val="00FB1099"/>
    <w:rsid w:val="25E9FD6F"/>
    <w:rsid w:val="46E761E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F9"/>
    <w:pPr>
      <w:spacing w:before="120" w:after="120"/>
      <w:jc w:val="both"/>
    </w:pPr>
    <w:rPr>
      <w:rFonts w:ascii="Arial" w:eastAsia="Arial" w:hAnsi="Arial" w:cs="Arial"/>
      <w:lang w:val="fr-CH"/>
    </w:rPr>
  </w:style>
  <w:style w:type="paragraph" w:styleId="Titre1">
    <w:name w:val="heading 1"/>
    <w:basedOn w:val="Normal"/>
    <w:link w:val="Titre1Car"/>
    <w:uiPriority w:val="9"/>
    <w:qFormat/>
    <w:rsid w:val="002658E3"/>
    <w:pPr>
      <w:spacing w:after="240"/>
      <w:ind w:left="471"/>
      <w:outlineLvl w:val="0"/>
    </w:pPr>
    <w:rPr>
      <w:b/>
      <w:bCs/>
      <w:sz w:val="24"/>
      <w:szCs w:val="24"/>
    </w:rPr>
  </w:style>
  <w:style w:type="paragraph" w:styleId="Titre2">
    <w:name w:val="heading 2"/>
    <w:basedOn w:val="Normal"/>
    <w:next w:val="Normal"/>
    <w:link w:val="Titre2Car"/>
    <w:autoRedefine/>
    <w:uiPriority w:val="9"/>
    <w:unhideWhenUsed/>
    <w:qFormat/>
    <w:rsid w:val="00B019F8"/>
    <w:pPr>
      <w:keepNext/>
      <w:keepLines/>
      <w:contextualSpacing/>
      <w:outlineLvl w:val="1"/>
    </w:pPr>
    <w:rPr>
      <w:rFonts w:eastAsiaTheme="majorEastAsia"/>
      <w:bCs/>
    </w:rPr>
  </w:style>
  <w:style w:type="paragraph" w:styleId="Titre3">
    <w:name w:val="heading 3"/>
    <w:basedOn w:val="Normal"/>
    <w:next w:val="Normal"/>
    <w:link w:val="Titre3Car"/>
    <w:uiPriority w:val="9"/>
    <w:unhideWhenUsed/>
    <w:qFormat/>
    <w:rsid w:val="004416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590AB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D3081"/>
    <w:pPr>
      <w:keepNext/>
      <w:keepLines/>
      <w:spacing w:before="40"/>
      <w:outlineLvl w:val="4"/>
    </w:pPr>
    <w:rPr>
      <w:rFonts w:eastAsiaTheme="majorEastAsia" w:cstheme="majorBid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5Fonc">
    <w:name w:val="Grid Table 5 Dark"/>
    <w:basedOn w:val="TableauNormal"/>
    <w:uiPriority w:val="50"/>
    <w:rsid w:val="00FB1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4">
    <w:name w:val="Grid Table 4"/>
    <w:basedOn w:val="TableauNormal"/>
    <w:uiPriority w:val="49"/>
    <w:rsid w:val="00FB10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FB10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590AB2"/>
    <w:rPr>
      <w:rFonts w:asciiTheme="majorHAnsi" w:eastAsiaTheme="majorEastAsia" w:hAnsiTheme="majorHAnsi" w:cstheme="majorBidi"/>
      <w:i/>
      <w:iCs/>
      <w:color w:val="365F91" w:themeColor="accent1" w:themeShade="BF"/>
      <w:lang w:val="fr-CH"/>
    </w:rPr>
  </w:style>
  <w:style w:type="character" w:customStyle="1" w:styleId="Titre5Car">
    <w:name w:val="Titre 5 Car"/>
    <w:basedOn w:val="Policepardfaut"/>
    <w:link w:val="Titre5"/>
    <w:uiPriority w:val="9"/>
    <w:semiHidden/>
    <w:rsid w:val="009D3081"/>
    <w:rPr>
      <w:rFonts w:ascii="Arial" w:eastAsiaTheme="majorEastAsia" w:hAnsi="Arial" w:cstheme="majorBidi"/>
      <w:b/>
      <w:sz w:val="24"/>
      <w:lang w:val="fr-CH"/>
    </w:rPr>
  </w:style>
  <w:style w:type="character" w:customStyle="1" w:styleId="Titre2Car">
    <w:name w:val="Titre 2 Car"/>
    <w:basedOn w:val="Policepardfaut"/>
    <w:link w:val="Titre2"/>
    <w:uiPriority w:val="9"/>
    <w:rsid w:val="00B019F8"/>
    <w:rPr>
      <w:rFonts w:ascii="Arial" w:eastAsiaTheme="majorEastAsia" w:hAnsi="Arial" w:cs="Arial"/>
      <w:bCs/>
      <w:lang w:val="fr-CH"/>
    </w:rPr>
  </w:style>
  <w:style w:type="character" w:customStyle="1" w:styleId="Titre3Car">
    <w:name w:val="Titre 3 Car"/>
    <w:basedOn w:val="Policepardfaut"/>
    <w:link w:val="Titre3"/>
    <w:uiPriority w:val="9"/>
    <w:rsid w:val="0044164A"/>
    <w:rPr>
      <w:rFonts w:asciiTheme="majorHAnsi" w:eastAsiaTheme="majorEastAsia" w:hAnsiTheme="majorHAnsi" w:cstheme="majorBidi"/>
      <w:color w:val="243F60" w:themeColor="accent1" w:themeShade="7F"/>
      <w:sz w:val="24"/>
      <w:szCs w:val="24"/>
      <w:lang w:val="fr-CH"/>
    </w:rPr>
  </w:style>
  <w:style w:type="paragraph" w:styleId="Rvision">
    <w:name w:val="Revision"/>
    <w:hidden/>
    <w:uiPriority w:val="99"/>
    <w:semiHidden/>
    <w:rsid w:val="00405A9D"/>
    <w:pPr>
      <w:widowControl/>
      <w:autoSpaceDE/>
      <w:autoSpaceDN/>
    </w:pPr>
    <w:rPr>
      <w:rFonts w:ascii="Arial" w:eastAsia="Arial" w:hAnsi="Arial" w:cs="Arial"/>
      <w:lang w:val="fr-CH"/>
    </w:rPr>
  </w:style>
  <w:style w:type="character" w:styleId="Marquedecommentaire">
    <w:name w:val="annotation reference"/>
    <w:basedOn w:val="Policepardfaut"/>
    <w:uiPriority w:val="99"/>
    <w:semiHidden/>
    <w:unhideWhenUsed/>
    <w:rsid w:val="00405A9D"/>
    <w:rPr>
      <w:sz w:val="16"/>
      <w:szCs w:val="16"/>
    </w:rPr>
  </w:style>
  <w:style w:type="paragraph" w:styleId="Commentaire">
    <w:name w:val="annotation text"/>
    <w:basedOn w:val="Normal"/>
    <w:link w:val="CommentaireCar"/>
    <w:uiPriority w:val="99"/>
    <w:unhideWhenUsed/>
    <w:rsid w:val="00405A9D"/>
    <w:rPr>
      <w:sz w:val="20"/>
      <w:szCs w:val="20"/>
    </w:rPr>
  </w:style>
  <w:style w:type="character" w:customStyle="1" w:styleId="CommentaireCar">
    <w:name w:val="Commentaire Car"/>
    <w:basedOn w:val="Policepardfaut"/>
    <w:link w:val="Commentaire"/>
    <w:uiPriority w:val="99"/>
    <w:rsid w:val="00405A9D"/>
    <w:rPr>
      <w:rFonts w:ascii="Arial" w:eastAsia="Arial" w:hAnsi="Arial" w:cs="Arial"/>
      <w:sz w:val="20"/>
      <w:szCs w:val="20"/>
      <w:lang w:val="fr-CH"/>
    </w:rPr>
  </w:style>
  <w:style w:type="paragraph" w:styleId="Objetducommentaire">
    <w:name w:val="annotation subject"/>
    <w:basedOn w:val="Commentaire"/>
    <w:next w:val="Commentaire"/>
    <w:link w:val="ObjetducommentaireCar"/>
    <w:uiPriority w:val="99"/>
    <w:semiHidden/>
    <w:unhideWhenUsed/>
    <w:rsid w:val="00405A9D"/>
    <w:rPr>
      <w:b/>
      <w:bCs/>
    </w:rPr>
  </w:style>
  <w:style w:type="character" w:customStyle="1" w:styleId="ObjetducommentaireCar">
    <w:name w:val="Objet du commentaire Car"/>
    <w:basedOn w:val="CommentaireCar"/>
    <w:link w:val="Objetducommentaire"/>
    <w:uiPriority w:val="99"/>
    <w:semiHidden/>
    <w:rsid w:val="00405A9D"/>
    <w:rPr>
      <w:rFonts w:ascii="Arial" w:eastAsia="Arial" w:hAnsi="Arial" w:cs="Arial"/>
      <w:b/>
      <w:bCs/>
      <w:sz w:val="20"/>
      <w:szCs w:val="20"/>
      <w:lang w:val="fr-CH"/>
    </w:rPr>
  </w:style>
  <w:style w:type="character" w:styleId="Accentuationintense">
    <w:name w:val="Intense Emphasis"/>
    <w:basedOn w:val="Policepardfaut"/>
    <w:uiPriority w:val="21"/>
    <w:qFormat/>
    <w:rsid w:val="00EB6861"/>
    <w:rPr>
      <w:i/>
      <w:iCs/>
      <w:color w:val="4F81BD" w:themeColor="accent1"/>
    </w:rPr>
  </w:style>
  <w:style w:type="character" w:customStyle="1" w:styleId="Titre1Car">
    <w:name w:val="Titre 1 Car"/>
    <w:basedOn w:val="Policepardfaut"/>
    <w:link w:val="Titre1"/>
    <w:uiPriority w:val="9"/>
    <w:rsid w:val="00B019F8"/>
    <w:rPr>
      <w:rFonts w:ascii="Arial" w:eastAsia="Arial" w:hAnsi="Arial" w:cs="Arial"/>
      <w:b/>
      <w:bCs/>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8312">
      <w:bodyDiv w:val="1"/>
      <w:marLeft w:val="0"/>
      <w:marRight w:val="0"/>
      <w:marTop w:val="0"/>
      <w:marBottom w:val="0"/>
      <w:divBdr>
        <w:top w:val="none" w:sz="0" w:space="0" w:color="auto"/>
        <w:left w:val="none" w:sz="0" w:space="0" w:color="auto"/>
        <w:bottom w:val="none" w:sz="0" w:space="0" w:color="auto"/>
        <w:right w:val="none" w:sz="0" w:space="0" w:color="auto"/>
      </w:divBdr>
    </w:div>
    <w:div w:id="341512371">
      <w:bodyDiv w:val="1"/>
      <w:marLeft w:val="0"/>
      <w:marRight w:val="0"/>
      <w:marTop w:val="0"/>
      <w:marBottom w:val="0"/>
      <w:divBdr>
        <w:top w:val="none" w:sz="0" w:space="0" w:color="auto"/>
        <w:left w:val="none" w:sz="0" w:space="0" w:color="auto"/>
        <w:bottom w:val="none" w:sz="0" w:space="0" w:color="auto"/>
        <w:right w:val="none" w:sz="0" w:space="0" w:color="auto"/>
      </w:divBdr>
    </w:div>
    <w:div w:id="470174290">
      <w:bodyDiv w:val="1"/>
      <w:marLeft w:val="0"/>
      <w:marRight w:val="0"/>
      <w:marTop w:val="0"/>
      <w:marBottom w:val="0"/>
      <w:divBdr>
        <w:top w:val="none" w:sz="0" w:space="0" w:color="auto"/>
        <w:left w:val="none" w:sz="0" w:space="0" w:color="auto"/>
        <w:bottom w:val="none" w:sz="0" w:space="0" w:color="auto"/>
        <w:right w:val="none" w:sz="0" w:space="0" w:color="auto"/>
      </w:divBdr>
    </w:div>
    <w:div w:id="609363052">
      <w:bodyDiv w:val="1"/>
      <w:marLeft w:val="0"/>
      <w:marRight w:val="0"/>
      <w:marTop w:val="0"/>
      <w:marBottom w:val="0"/>
      <w:divBdr>
        <w:top w:val="none" w:sz="0" w:space="0" w:color="auto"/>
        <w:left w:val="none" w:sz="0" w:space="0" w:color="auto"/>
        <w:bottom w:val="none" w:sz="0" w:space="0" w:color="auto"/>
        <w:right w:val="none" w:sz="0" w:space="0" w:color="auto"/>
      </w:divBdr>
    </w:div>
    <w:div w:id="1366254054">
      <w:bodyDiv w:val="1"/>
      <w:marLeft w:val="0"/>
      <w:marRight w:val="0"/>
      <w:marTop w:val="0"/>
      <w:marBottom w:val="0"/>
      <w:divBdr>
        <w:top w:val="none" w:sz="0" w:space="0" w:color="auto"/>
        <w:left w:val="none" w:sz="0" w:space="0" w:color="auto"/>
        <w:bottom w:val="none" w:sz="0" w:space="0" w:color="auto"/>
        <w:right w:val="none" w:sz="0" w:space="0" w:color="auto"/>
      </w:divBdr>
    </w:div>
    <w:div w:id="2100759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69D8-AAF4-438A-ACA6-B65EF6F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Microsoft Word - 2019 MANUEL SolBra.docx</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4</cp:revision>
  <dcterms:created xsi:type="dcterms:W3CDTF">2025-10-24T08:25:00Z</dcterms:created>
  <dcterms:modified xsi:type="dcterms:W3CDTF">2026-01-19T10:44:00Z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